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2A8" w:rsidRPr="002B1075" w:rsidRDefault="00B60D01" w:rsidP="00CE4D1D">
      <w:pPr>
        <w:bidi w:val="0"/>
        <w:ind w:left="720" w:firstLine="414"/>
        <w:rPr>
          <w:rFonts w:ascii="David" w:hAnsi="David"/>
          <w:sz w:val="24"/>
        </w:rPr>
      </w:pPr>
      <w:bookmarkStart w:id="0" w:name="_GoBack"/>
      <w:r>
        <w:rPr>
          <w:rFonts w:ascii="David" w:hAnsi="David" w:hint="cs"/>
          <w:sz w:val="24"/>
          <w:rtl/>
        </w:rPr>
        <w:t>16</w:t>
      </w:r>
      <w:r w:rsidR="00B562A8" w:rsidRPr="002B1075">
        <w:rPr>
          <w:rFonts w:ascii="David" w:hAnsi="David"/>
          <w:sz w:val="24"/>
          <w:rtl/>
        </w:rPr>
        <w:t>.</w:t>
      </w:r>
      <w:r w:rsidR="00CE4D1D" w:rsidRPr="002B1075">
        <w:rPr>
          <w:rFonts w:ascii="David" w:hAnsi="David"/>
          <w:sz w:val="24"/>
          <w:rtl/>
        </w:rPr>
        <w:t>05</w:t>
      </w:r>
      <w:r w:rsidR="00B562A8" w:rsidRPr="002B1075">
        <w:rPr>
          <w:rFonts w:ascii="David" w:hAnsi="David"/>
          <w:sz w:val="24"/>
          <w:rtl/>
        </w:rPr>
        <w:t>.18</w:t>
      </w:r>
    </w:p>
    <w:p w:rsidR="00B562A8" w:rsidRPr="002B1075" w:rsidRDefault="00B562A8" w:rsidP="00B562A8">
      <w:pPr>
        <w:ind w:left="828"/>
        <w:jc w:val="both"/>
        <w:rPr>
          <w:rFonts w:ascii="David" w:hAnsi="David"/>
          <w:sz w:val="24"/>
          <w:rtl/>
        </w:rPr>
      </w:pPr>
      <w:r w:rsidRPr="002B1075">
        <w:rPr>
          <w:rFonts w:ascii="David" w:hAnsi="David"/>
          <w:sz w:val="24"/>
          <w:rtl/>
        </w:rPr>
        <w:t>לכבוד</w:t>
      </w:r>
    </w:p>
    <w:p w:rsidR="00B562A8" w:rsidRPr="002B1075" w:rsidRDefault="00B562A8" w:rsidP="00B562A8">
      <w:pPr>
        <w:ind w:left="828"/>
        <w:jc w:val="both"/>
        <w:rPr>
          <w:rFonts w:ascii="David" w:hAnsi="David"/>
          <w:sz w:val="24"/>
          <w:rtl/>
        </w:rPr>
      </w:pPr>
    </w:p>
    <w:p w:rsidR="00B562A8" w:rsidRPr="002B1075" w:rsidRDefault="00B562A8" w:rsidP="00B562A8">
      <w:pPr>
        <w:ind w:left="828"/>
        <w:jc w:val="both"/>
        <w:rPr>
          <w:rFonts w:ascii="David" w:hAnsi="David"/>
          <w:sz w:val="24"/>
          <w:rtl/>
        </w:rPr>
      </w:pPr>
      <w:r w:rsidRPr="002B1075">
        <w:rPr>
          <w:rFonts w:ascii="David" w:hAnsi="David"/>
          <w:sz w:val="24"/>
          <w:rtl/>
        </w:rPr>
        <w:t xml:space="preserve">__________________ </w:t>
      </w:r>
    </w:p>
    <w:p w:rsidR="00B562A8" w:rsidRPr="002B1075" w:rsidRDefault="00B562A8" w:rsidP="00B562A8">
      <w:pPr>
        <w:jc w:val="both"/>
        <w:rPr>
          <w:rFonts w:ascii="David" w:hAnsi="David"/>
          <w:sz w:val="24"/>
          <w:rtl/>
        </w:rPr>
      </w:pPr>
    </w:p>
    <w:p w:rsidR="00B562A8" w:rsidRPr="002B1075" w:rsidRDefault="00B562A8" w:rsidP="00B562A8">
      <w:pPr>
        <w:jc w:val="both"/>
        <w:rPr>
          <w:rFonts w:ascii="David" w:hAnsi="David"/>
          <w:sz w:val="24"/>
          <w:rtl/>
        </w:rPr>
      </w:pPr>
    </w:p>
    <w:p w:rsidR="00C05908" w:rsidRPr="002B1075" w:rsidRDefault="00B562A8" w:rsidP="00C05908">
      <w:pPr>
        <w:ind w:left="-1"/>
        <w:jc w:val="center"/>
        <w:rPr>
          <w:rFonts w:ascii="David" w:hAnsi="David"/>
          <w:b/>
          <w:bCs/>
          <w:sz w:val="24"/>
          <w:u w:val="single"/>
          <w:rtl/>
        </w:rPr>
      </w:pPr>
      <w:r w:rsidRPr="002B1075">
        <w:rPr>
          <w:rFonts w:ascii="David" w:hAnsi="David"/>
          <w:sz w:val="24"/>
          <w:rtl/>
        </w:rPr>
        <w:t xml:space="preserve">הנדון: </w:t>
      </w:r>
      <w:r w:rsidRPr="002B1075">
        <w:rPr>
          <w:rFonts w:ascii="David" w:hAnsi="David"/>
          <w:b/>
          <w:bCs/>
          <w:sz w:val="24"/>
          <w:u w:val="single"/>
          <w:rtl/>
        </w:rPr>
        <w:t>תשובות לשאלות הבהרה</w:t>
      </w:r>
      <w:r w:rsidR="005B27C3">
        <w:rPr>
          <w:rFonts w:ascii="David" w:hAnsi="David" w:hint="cs"/>
          <w:b/>
          <w:bCs/>
          <w:sz w:val="24"/>
          <w:u w:val="single"/>
          <w:rtl/>
        </w:rPr>
        <w:t xml:space="preserve"> </w:t>
      </w:r>
      <w:r w:rsidRPr="002B1075">
        <w:rPr>
          <w:rFonts w:ascii="David" w:hAnsi="David"/>
          <w:b/>
          <w:bCs/>
          <w:sz w:val="24"/>
          <w:u w:val="single"/>
          <w:rtl/>
        </w:rPr>
        <w:t xml:space="preserve">למכרז </w:t>
      </w:r>
      <w:r w:rsidR="00C05908" w:rsidRPr="002B1075">
        <w:rPr>
          <w:rFonts w:ascii="David" w:hAnsi="David"/>
          <w:b/>
          <w:bCs/>
          <w:sz w:val="24"/>
          <w:u w:val="single"/>
          <w:rtl/>
        </w:rPr>
        <w:t xml:space="preserve">מסגרת </w:t>
      </w:r>
      <w:r w:rsidR="005B27C3">
        <w:rPr>
          <w:rFonts w:ascii="David" w:hAnsi="David" w:hint="cs"/>
          <w:b/>
          <w:bCs/>
          <w:sz w:val="24"/>
          <w:u w:val="single"/>
          <w:rtl/>
        </w:rPr>
        <w:t xml:space="preserve">(מתוקן) </w:t>
      </w:r>
      <w:r w:rsidR="00C05908" w:rsidRPr="002B1075">
        <w:rPr>
          <w:rFonts w:ascii="David" w:hAnsi="David"/>
          <w:b/>
          <w:bCs/>
          <w:sz w:val="24"/>
          <w:u w:val="single"/>
          <w:rtl/>
        </w:rPr>
        <w:t xml:space="preserve">פומבי </w:t>
      </w:r>
      <w:r w:rsidRPr="002B1075">
        <w:rPr>
          <w:rFonts w:ascii="David" w:hAnsi="David"/>
          <w:b/>
          <w:bCs/>
          <w:sz w:val="24"/>
          <w:u w:val="single"/>
          <w:rtl/>
        </w:rPr>
        <w:t xml:space="preserve">מס' </w:t>
      </w:r>
      <w:r w:rsidR="00C05908" w:rsidRPr="002B1075">
        <w:rPr>
          <w:rFonts w:ascii="David" w:hAnsi="David"/>
          <w:b/>
          <w:bCs/>
          <w:sz w:val="24"/>
          <w:u w:val="single"/>
          <w:rtl/>
        </w:rPr>
        <w:t>176</w:t>
      </w:r>
      <w:r w:rsidRPr="002B1075">
        <w:rPr>
          <w:rFonts w:ascii="David" w:hAnsi="David"/>
          <w:b/>
          <w:bCs/>
          <w:sz w:val="24"/>
          <w:u w:val="single"/>
          <w:rtl/>
        </w:rPr>
        <w:t>/</w:t>
      </w:r>
      <w:r w:rsidR="00C05908" w:rsidRPr="002B1075">
        <w:rPr>
          <w:rFonts w:ascii="David" w:hAnsi="David"/>
          <w:b/>
          <w:bCs/>
          <w:sz w:val="24"/>
          <w:u w:val="single"/>
          <w:rtl/>
        </w:rPr>
        <w:t>09</w:t>
      </w:r>
      <w:r w:rsidRPr="002B1075">
        <w:rPr>
          <w:rFonts w:ascii="David" w:hAnsi="David"/>
          <w:b/>
          <w:bCs/>
          <w:sz w:val="24"/>
          <w:u w:val="single"/>
          <w:rtl/>
        </w:rPr>
        <w:t>/</w:t>
      </w:r>
      <w:r w:rsidR="00C05908" w:rsidRPr="002B1075">
        <w:rPr>
          <w:rFonts w:ascii="David" w:hAnsi="David"/>
          <w:b/>
          <w:bCs/>
          <w:sz w:val="24"/>
          <w:u w:val="single"/>
          <w:rtl/>
        </w:rPr>
        <w:t>17</w:t>
      </w:r>
      <w:r w:rsidRPr="002B1075">
        <w:rPr>
          <w:rFonts w:ascii="David" w:hAnsi="David"/>
          <w:b/>
          <w:bCs/>
          <w:sz w:val="24"/>
          <w:u w:val="single"/>
          <w:rtl/>
        </w:rPr>
        <w:t xml:space="preserve"> </w:t>
      </w:r>
      <w:r w:rsidR="00C05908" w:rsidRPr="002B1075">
        <w:rPr>
          <w:rFonts w:ascii="David" w:hAnsi="David"/>
          <w:b/>
          <w:bCs/>
          <w:sz w:val="24"/>
          <w:u w:val="single"/>
          <w:rtl/>
        </w:rPr>
        <w:t>למתן שירותי דפוס אופסט</w:t>
      </w:r>
    </w:p>
    <w:p w:rsidR="00B562A8" w:rsidRPr="002B1075" w:rsidRDefault="00C05908" w:rsidP="00C05908">
      <w:pPr>
        <w:ind w:left="-1"/>
        <w:jc w:val="center"/>
        <w:rPr>
          <w:rFonts w:ascii="David" w:hAnsi="David"/>
          <w:b/>
          <w:bCs/>
          <w:sz w:val="24"/>
          <w:u w:val="single"/>
          <w:rtl/>
        </w:rPr>
      </w:pPr>
      <w:r w:rsidRPr="002B1075">
        <w:rPr>
          <w:rFonts w:ascii="David" w:hAnsi="David"/>
          <w:b/>
          <w:bCs/>
          <w:sz w:val="24"/>
          <w:u w:val="single"/>
          <w:rtl/>
        </w:rPr>
        <w:t xml:space="preserve"> עבור לשכת הפרסום הממשלתית</w:t>
      </w:r>
    </w:p>
    <w:p w:rsidR="00554295" w:rsidRPr="002B1075" w:rsidRDefault="00554295" w:rsidP="00C05908">
      <w:pPr>
        <w:ind w:left="-1"/>
        <w:jc w:val="center"/>
        <w:rPr>
          <w:rFonts w:ascii="David" w:hAnsi="David"/>
          <w:b/>
          <w:bCs/>
          <w:sz w:val="24"/>
          <w:u w:val="single"/>
          <w:rtl/>
        </w:rPr>
      </w:pPr>
    </w:p>
    <w:p w:rsidR="00B55C4C" w:rsidRPr="002B1075" w:rsidRDefault="00B55C4C" w:rsidP="00C05908">
      <w:pPr>
        <w:ind w:left="-1"/>
        <w:jc w:val="center"/>
        <w:rPr>
          <w:rFonts w:ascii="David" w:hAnsi="David"/>
          <w:b/>
          <w:bCs/>
          <w:sz w:val="24"/>
          <w:u w:val="single"/>
          <w:rtl/>
        </w:rPr>
      </w:pPr>
    </w:p>
    <w:tbl>
      <w:tblPr>
        <w:tblStyle w:val="ad"/>
        <w:tblpPr w:leftFromText="180" w:rightFromText="180" w:vertAnchor="text" w:horzAnchor="margin" w:tblpXSpec="center" w:tblpY="152"/>
        <w:tblOverlap w:val="never"/>
        <w:bidiVisual/>
        <w:tblW w:w="9639" w:type="dxa"/>
        <w:tblInd w:w="-424" w:type="dxa"/>
        <w:tblLook w:val="04A0" w:firstRow="1" w:lastRow="0" w:firstColumn="1" w:lastColumn="0" w:noHBand="0" w:noVBand="1"/>
      </w:tblPr>
      <w:tblGrid>
        <w:gridCol w:w="992"/>
        <w:gridCol w:w="4252"/>
        <w:gridCol w:w="4395"/>
      </w:tblGrid>
      <w:tr w:rsidR="005B26E5" w:rsidRPr="002B1075" w:rsidTr="005B27C3">
        <w:trPr>
          <w:tblHeader/>
        </w:trPr>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B26E5" w:rsidRPr="002B1075" w:rsidRDefault="005B26E5" w:rsidP="005B27C3">
            <w:pPr>
              <w:spacing w:before="100" w:beforeAutospacing="1" w:after="100" w:afterAutospacing="1"/>
              <w:jc w:val="both"/>
              <w:rPr>
                <w:rFonts w:ascii="David" w:hAnsi="David"/>
                <w:b/>
                <w:bCs/>
                <w:sz w:val="24"/>
              </w:rPr>
            </w:pPr>
            <w:r w:rsidRPr="002B1075">
              <w:rPr>
                <w:rFonts w:ascii="David" w:hAnsi="David"/>
                <w:b/>
                <w:bCs/>
                <w:sz w:val="24"/>
                <w:rtl/>
              </w:rPr>
              <w:t xml:space="preserve">סעיף/ נספח </w:t>
            </w:r>
            <w:r w:rsidR="00672C8B" w:rsidRPr="002B1075">
              <w:rPr>
                <w:rFonts w:ascii="David" w:hAnsi="David"/>
                <w:b/>
                <w:bCs/>
                <w:sz w:val="24"/>
                <w:rtl/>
              </w:rPr>
              <w:t>במכרז</w:t>
            </w: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B26E5" w:rsidRPr="002B1075" w:rsidRDefault="005B26E5" w:rsidP="005B27C3">
            <w:pPr>
              <w:spacing w:before="100" w:beforeAutospacing="1" w:after="100" w:afterAutospacing="1"/>
              <w:jc w:val="both"/>
              <w:rPr>
                <w:rFonts w:ascii="David" w:hAnsi="David"/>
                <w:b/>
                <w:bCs/>
                <w:sz w:val="24"/>
              </w:rPr>
            </w:pPr>
            <w:r w:rsidRPr="002B1075">
              <w:rPr>
                <w:rFonts w:ascii="David" w:hAnsi="David"/>
                <w:b/>
                <w:bCs/>
                <w:sz w:val="24"/>
                <w:rtl/>
              </w:rPr>
              <w:t>שאלה:</w:t>
            </w:r>
          </w:p>
        </w:tc>
        <w:tc>
          <w:tcPr>
            <w:tcW w:w="439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B26E5" w:rsidRPr="002B1075" w:rsidRDefault="005B26E5" w:rsidP="005B27C3">
            <w:pPr>
              <w:spacing w:before="100" w:beforeAutospacing="1" w:after="100" w:afterAutospacing="1"/>
              <w:jc w:val="both"/>
              <w:rPr>
                <w:rFonts w:ascii="David" w:hAnsi="David"/>
                <w:sz w:val="24"/>
              </w:rPr>
            </w:pPr>
            <w:r w:rsidRPr="002B1075">
              <w:rPr>
                <w:rFonts w:ascii="David" w:hAnsi="David"/>
                <w:b/>
                <w:bCs/>
                <w:sz w:val="24"/>
                <w:rtl/>
              </w:rPr>
              <w:t>תשובה:</w:t>
            </w:r>
          </w:p>
        </w:tc>
      </w:tr>
      <w:tr w:rsidR="00861572" w:rsidRPr="002B1075" w:rsidTr="005B27C3">
        <w:trPr>
          <w:trHeight w:val="2085"/>
        </w:trPr>
        <w:tc>
          <w:tcPr>
            <w:tcW w:w="992" w:type="dxa"/>
            <w:vMerge w:val="restart"/>
            <w:tcBorders>
              <w:left w:val="single" w:sz="4" w:space="0" w:color="auto"/>
              <w:right w:val="single" w:sz="4" w:space="0" w:color="auto"/>
            </w:tcBorders>
            <w:vAlign w:val="center"/>
          </w:tcPr>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סעיף 2</w:t>
            </w:r>
            <w:r>
              <w:rPr>
                <w:rFonts w:ascii="David" w:hAnsi="David" w:hint="cs"/>
                <w:sz w:val="24"/>
                <w:rtl/>
              </w:rPr>
              <w:t>ט'</w:t>
            </w:r>
            <w:r w:rsidRPr="002B1075">
              <w:rPr>
                <w:rFonts w:ascii="David" w:hAnsi="David"/>
                <w:sz w:val="24"/>
                <w:rtl/>
              </w:rPr>
              <w:t xml:space="preserve"> למכרז</w:t>
            </w:r>
          </w:p>
        </w:tc>
        <w:tc>
          <w:tcPr>
            <w:tcW w:w="4252" w:type="dxa"/>
            <w:tcBorders>
              <w:top w:val="single" w:sz="4" w:space="0" w:color="auto"/>
              <w:left w:val="single" w:sz="4" w:space="0" w:color="auto"/>
              <w:bottom w:val="single" w:sz="4" w:space="0" w:color="auto"/>
              <w:right w:val="single" w:sz="4" w:space="0" w:color="auto"/>
            </w:tcBorders>
          </w:tcPr>
          <w:p w:rsidR="00861572" w:rsidRPr="002B1075" w:rsidRDefault="00861572" w:rsidP="00E419E2">
            <w:pPr>
              <w:jc w:val="both"/>
              <w:rPr>
                <w:rFonts w:ascii="David" w:hAnsi="David"/>
                <w:sz w:val="24"/>
              </w:rPr>
            </w:pPr>
            <w:r w:rsidRPr="002B1075">
              <w:rPr>
                <w:rFonts w:ascii="David" w:hAnsi="David"/>
                <w:color w:val="222222"/>
                <w:sz w:val="24"/>
              </w:rPr>
              <w:t> </w:t>
            </w:r>
          </w:p>
          <w:p w:rsidR="00861572" w:rsidRPr="002B1075" w:rsidRDefault="00861572" w:rsidP="00E419E2">
            <w:pPr>
              <w:jc w:val="both"/>
              <w:rPr>
                <w:rFonts w:ascii="David" w:hAnsi="David"/>
                <w:color w:val="222222"/>
                <w:sz w:val="24"/>
                <w:rtl/>
              </w:rPr>
            </w:pPr>
            <w:r w:rsidRPr="002B1075">
              <w:rPr>
                <w:rFonts w:ascii="David" w:hAnsi="David"/>
                <w:color w:val="222222"/>
                <w:sz w:val="24"/>
                <w:rtl/>
              </w:rPr>
              <w:t>אנא הבהרתכם באחריות מי להעביר את העתקי השמש למשרד לפ"מ?</w:t>
            </w:r>
          </w:p>
          <w:p w:rsidR="00861572" w:rsidRPr="002B1075" w:rsidRDefault="00861572" w:rsidP="00E419E2">
            <w:pPr>
              <w:ind w:left="317" w:hanging="283"/>
              <w:jc w:val="both"/>
              <w:rPr>
                <w:rFonts w:ascii="David" w:eastAsiaTheme="minorHAnsi" w:hAnsi="David"/>
                <w:sz w:val="24"/>
                <w:rtl/>
              </w:rPr>
            </w:pPr>
          </w:p>
          <w:p w:rsidR="00861572" w:rsidRPr="002B1075" w:rsidRDefault="00861572" w:rsidP="00E419E2">
            <w:pPr>
              <w:pStyle w:val="ae"/>
              <w:ind w:left="317"/>
              <w:jc w:val="both"/>
              <w:rPr>
                <w:rFonts w:ascii="David" w:hAnsi="David" w:cs="David"/>
                <w:rtl/>
              </w:rPr>
            </w:pPr>
          </w:p>
        </w:tc>
        <w:tc>
          <w:tcPr>
            <w:tcW w:w="4395" w:type="dxa"/>
            <w:tcBorders>
              <w:left w:val="single" w:sz="4" w:space="0" w:color="auto"/>
              <w:right w:val="single" w:sz="4" w:space="0" w:color="auto"/>
            </w:tcBorders>
          </w:tcPr>
          <w:p w:rsidR="00861572" w:rsidRPr="002B1075" w:rsidRDefault="00861572" w:rsidP="00E419E2">
            <w:pPr>
              <w:spacing w:before="240" w:after="360" w:line="276" w:lineRule="auto"/>
              <w:ind w:left="34"/>
              <w:jc w:val="both"/>
              <w:rPr>
                <w:rFonts w:ascii="David" w:hAnsi="David"/>
                <w:b/>
                <w:bCs/>
                <w:sz w:val="24"/>
                <w:rtl/>
              </w:rPr>
            </w:pPr>
            <w:r w:rsidRPr="002B1075">
              <w:rPr>
                <w:rFonts w:ascii="David" w:hAnsi="David"/>
                <w:b/>
                <w:bCs/>
                <w:sz w:val="24"/>
                <w:rtl/>
              </w:rPr>
              <w:t>סעיף 2ט' למכרז קובע כי: "השירותים שיינתנו ע"י ספק המסגרת בשלבי קדם הדפוס כמפורט לעיל, לרבות ביצוע קבלה ומסירה כאמור (אשר כוללים פריקה והעמסה של החומרים), הינם חלק בלתי נפרד ממתן השירותים ויהיו על חשבון ספק המסגרת. למען הסר ספק, לא תידרש ולא תינתן כל תמורה נוספת בעבור שירותים אלו".</w:t>
            </w:r>
          </w:p>
          <w:p w:rsidR="00861572" w:rsidRPr="002B1075" w:rsidRDefault="00861572" w:rsidP="00E419E2">
            <w:pPr>
              <w:jc w:val="both"/>
              <w:rPr>
                <w:rFonts w:ascii="David" w:hAnsi="David"/>
                <w:b/>
                <w:bCs/>
                <w:sz w:val="24"/>
              </w:rPr>
            </w:pPr>
            <w:r w:rsidRPr="002B1075">
              <w:rPr>
                <w:rFonts w:ascii="David" w:hAnsi="David"/>
                <w:b/>
                <w:bCs/>
                <w:sz w:val="24"/>
                <w:rtl/>
              </w:rPr>
              <w:t xml:space="preserve">הווה אומר כי באחריות בית הדפוס המבצע ועל חשבונו לשלוח את העתקי השמש למשרדי לפ"מ בתל אביב לאישור טרם הדפסה. </w:t>
            </w:r>
          </w:p>
          <w:p w:rsidR="00861572" w:rsidRDefault="00861572" w:rsidP="00E419E2">
            <w:pPr>
              <w:jc w:val="both"/>
              <w:rPr>
                <w:rFonts w:ascii="David" w:hAnsi="David"/>
                <w:b/>
                <w:bCs/>
                <w:sz w:val="24"/>
                <w:rtl/>
              </w:rPr>
            </w:pPr>
          </w:p>
          <w:p w:rsidR="005B27C3" w:rsidRPr="002B1075" w:rsidRDefault="005B27C3" w:rsidP="00E419E2">
            <w:pPr>
              <w:jc w:val="both"/>
              <w:rPr>
                <w:rFonts w:ascii="David" w:hAnsi="David"/>
                <w:b/>
                <w:bCs/>
                <w:sz w:val="24"/>
                <w:rtl/>
              </w:rPr>
            </w:pPr>
          </w:p>
        </w:tc>
      </w:tr>
      <w:tr w:rsidR="00861572" w:rsidRPr="002B1075" w:rsidTr="005B27C3">
        <w:trPr>
          <w:trHeight w:val="2412"/>
        </w:trPr>
        <w:tc>
          <w:tcPr>
            <w:tcW w:w="992" w:type="dxa"/>
            <w:vMerge/>
            <w:tcBorders>
              <w:left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861572" w:rsidRDefault="00861572" w:rsidP="00E419E2">
            <w:pPr>
              <w:jc w:val="both"/>
              <w:rPr>
                <w:rFonts w:ascii="David" w:hAnsi="David"/>
                <w:color w:val="222222"/>
                <w:sz w:val="24"/>
                <w:rtl/>
              </w:rPr>
            </w:pPr>
          </w:p>
          <w:p w:rsidR="00861572" w:rsidRPr="002B1075" w:rsidRDefault="00861572" w:rsidP="00E419E2">
            <w:pPr>
              <w:jc w:val="both"/>
              <w:rPr>
                <w:rFonts w:ascii="David" w:hAnsi="David"/>
                <w:color w:val="222222"/>
                <w:sz w:val="24"/>
                <w:rtl/>
              </w:rPr>
            </w:pPr>
            <w:r w:rsidRPr="002B1075">
              <w:rPr>
                <w:rFonts w:ascii="David" w:hAnsi="David"/>
                <w:color w:val="222222"/>
                <w:sz w:val="24"/>
                <w:rtl/>
              </w:rPr>
              <w:t>במידה וישנם תיקונים להעתקי השמש האם צריך לשלוח אותם שוב למשרד לפ"מ לאישור? ותוך כמה זמן?</w:t>
            </w:r>
          </w:p>
          <w:p w:rsidR="00861572" w:rsidRPr="002B1075" w:rsidRDefault="00861572" w:rsidP="00E419E2">
            <w:pPr>
              <w:jc w:val="both"/>
              <w:rPr>
                <w:rFonts w:ascii="David" w:hAnsi="David"/>
                <w:color w:val="222222"/>
                <w:sz w:val="24"/>
              </w:rPr>
            </w:pPr>
          </w:p>
        </w:tc>
        <w:tc>
          <w:tcPr>
            <w:tcW w:w="4395" w:type="dxa"/>
            <w:tcBorders>
              <w:left w:val="single" w:sz="4" w:space="0" w:color="auto"/>
              <w:right w:val="single" w:sz="4" w:space="0" w:color="auto"/>
            </w:tcBorders>
          </w:tcPr>
          <w:p w:rsidR="00861572" w:rsidRDefault="00861572" w:rsidP="00E419E2">
            <w:pPr>
              <w:jc w:val="both"/>
              <w:rPr>
                <w:rFonts w:ascii="David" w:hAnsi="David"/>
                <w:color w:val="000000"/>
                <w:sz w:val="24"/>
                <w:rtl/>
              </w:rPr>
            </w:pPr>
          </w:p>
          <w:p w:rsidR="00861572" w:rsidRPr="008F32D6" w:rsidRDefault="00861572" w:rsidP="00E419E2">
            <w:pPr>
              <w:jc w:val="both"/>
              <w:rPr>
                <w:rFonts w:ascii="David" w:hAnsi="David"/>
                <w:b/>
                <w:bCs/>
                <w:color w:val="000000"/>
                <w:sz w:val="24"/>
                <w:rtl/>
              </w:rPr>
            </w:pPr>
            <w:r w:rsidRPr="008F32D6">
              <w:rPr>
                <w:rFonts w:ascii="David" w:hAnsi="David" w:hint="cs"/>
                <w:b/>
                <w:bCs/>
                <w:color w:val="000000"/>
                <w:sz w:val="24"/>
                <w:rtl/>
              </w:rPr>
              <w:t>כאמור בסעיף 2ט' למכרז, כל שלבי קדם הדפוס, הינם באחריות ספק המסגרת ועל חשבונו.</w:t>
            </w:r>
          </w:p>
          <w:p w:rsidR="00861572" w:rsidRPr="008F32D6" w:rsidRDefault="00861572" w:rsidP="00E419E2">
            <w:pPr>
              <w:jc w:val="both"/>
              <w:rPr>
                <w:rFonts w:ascii="David" w:hAnsi="David"/>
                <w:b/>
                <w:bCs/>
                <w:color w:val="000000"/>
                <w:sz w:val="24"/>
                <w:rtl/>
              </w:rPr>
            </w:pPr>
            <w:r w:rsidRPr="008F32D6">
              <w:rPr>
                <w:rFonts w:ascii="David" w:hAnsi="David" w:hint="cs"/>
                <w:b/>
                <w:bCs/>
                <w:color w:val="000000"/>
                <w:sz w:val="24"/>
                <w:rtl/>
              </w:rPr>
              <w:t>כך, גם תיקונים בהעתקי השמש, ככל שיהיו,</w:t>
            </w:r>
            <w:r w:rsidR="00774263">
              <w:rPr>
                <w:rFonts w:ascii="David" w:hAnsi="David" w:hint="cs"/>
                <w:b/>
                <w:bCs/>
                <w:color w:val="000000"/>
                <w:sz w:val="24"/>
                <w:rtl/>
              </w:rPr>
              <w:t xml:space="preserve"> </w:t>
            </w:r>
            <w:r w:rsidRPr="008F32D6">
              <w:rPr>
                <w:rFonts w:ascii="David" w:hAnsi="David" w:hint="cs"/>
                <w:b/>
                <w:bCs/>
                <w:color w:val="000000"/>
                <w:sz w:val="24"/>
                <w:rtl/>
              </w:rPr>
              <w:t>מהווים חלק בלתי נפרד ממתן השירותים בשלבי קדם הדפוס ויהיו על חשבון ספק ובאחריותו.</w:t>
            </w:r>
          </w:p>
          <w:p w:rsidR="00861572" w:rsidRPr="008F32D6" w:rsidRDefault="00861572" w:rsidP="00E419E2">
            <w:pPr>
              <w:jc w:val="both"/>
              <w:rPr>
                <w:rFonts w:ascii="David" w:hAnsi="David"/>
                <w:b/>
                <w:bCs/>
                <w:color w:val="000000"/>
                <w:sz w:val="24"/>
                <w:rtl/>
              </w:rPr>
            </w:pPr>
            <w:r w:rsidRPr="008F32D6">
              <w:rPr>
                <w:rFonts w:ascii="David" w:hAnsi="David" w:hint="cs"/>
                <w:b/>
                <w:bCs/>
                <w:color w:val="000000"/>
                <w:sz w:val="24"/>
                <w:rtl/>
              </w:rPr>
              <w:t>לוחות הזמנים לקבלת התיקונים ייקבעו בתיאום עם נציג לפ"מ ו</w:t>
            </w:r>
            <w:r w:rsidR="005B27C3">
              <w:rPr>
                <w:rFonts w:ascii="David" w:hAnsi="David" w:hint="cs"/>
                <w:b/>
                <w:bCs/>
                <w:color w:val="000000"/>
                <w:sz w:val="24"/>
                <w:rtl/>
              </w:rPr>
              <w:t xml:space="preserve">יישלחו לאישור לפ"מ </w:t>
            </w:r>
            <w:r w:rsidRPr="008F32D6">
              <w:rPr>
                <w:rFonts w:ascii="David" w:hAnsi="David" w:hint="cs"/>
                <w:b/>
                <w:bCs/>
                <w:color w:val="000000"/>
                <w:sz w:val="24"/>
                <w:rtl/>
              </w:rPr>
              <w:t xml:space="preserve">מוקדם ככל הניתן. </w:t>
            </w:r>
          </w:p>
          <w:p w:rsidR="00861572" w:rsidRDefault="00861572" w:rsidP="00E419E2">
            <w:pPr>
              <w:jc w:val="both"/>
              <w:rPr>
                <w:rFonts w:ascii="David" w:hAnsi="David"/>
                <w:color w:val="000000"/>
                <w:sz w:val="24"/>
                <w:rtl/>
              </w:rPr>
            </w:pPr>
          </w:p>
          <w:p w:rsidR="005B27C3" w:rsidRPr="002B1075" w:rsidRDefault="005B27C3" w:rsidP="00E419E2">
            <w:pPr>
              <w:jc w:val="both"/>
              <w:rPr>
                <w:rFonts w:ascii="David" w:hAnsi="David"/>
                <w:color w:val="000000"/>
                <w:sz w:val="24"/>
                <w:rtl/>
              </w:rPr>
            </w:pPr>
          </w:p>
        </w:tc>
      </w:tr>
      <w:tr w:rsidR="00861572" w:rsidRPr="002B1075" w:rsidTr="005B27C3">
        <w:trPr>
          <w:trHeight w:val="1113"/>
        </w:trPr>
        <w:tc>
          <w:tcPr>
            <w:tcW w:w="992" w:type="dxa"/>
            <w:tcBorders>
              <w:left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sz w:val="24"/>
                <w:rtl/>
              </w:rPr>
            </w:pPr>
          </w:p>
          <w:p w:rsidR="00861572"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סעיף 2יז</w:t>
            </w:r>
            <w:r>
              <w:rPr>
                <w:rFonts w:ascii="David" w:hAnsi="David" w:hint="cs"/>
                <w:sz w:val="24"/>
                <w:rtl/>
              </w:rPr>
              <w:t>'</w:t>
            </w:r>
          </w:p>
          <w:p w:rsidR="00861572" w:rsidRPr="002B1075" w:rsidRDefault="00861572" w:rsidP="00E419E2">
            <w:pPr>
              <w:spacing w:before="100" w:beforeAutospacing="1" w:after="100" w:afterAutospacing="1"/>
              <w:contextualSpacing/>
              <w:jc w:val="both"/>
              <w:rPr>
                <w:rFonts w:ascii="David" w:hAnsi="David"/>
                <w:sz w:val="24"/>
                <w:rtl/>
              </w:rPr>
            </w:pPr>
            <w:r>
              <w:rPr>
                <w:rFonts w:ascii="David" w:hAnsi="David" w:hint="cs"/>
                <w:sz w:val="24"/>
                <w:rtl/>
              </w:rPr>
              <w:t>למכרז</w:t>
            </w:r>
          </w:p>
        </w:tc>
        <w:tc>
          <w:tcPr>
            <w:tcW w:w="4252" w:type="dxa"/>
            <w:tcBorders>
              <w:top w:val="single" w:sz="4" w:space="0" w:color="auto"/>
              <w:left w:val="single" w:sz="4" w:space="0" w:color="auto"/>
              <w:bottom w:val="single" w:sz="4" w:space="0" w:color="auto"/>
              <w:right w:val="single" w:sz="4" w:space="0" w:color="auto"/>
            </w:tcBorders>
          </w:tcPr>
          <w:p w:rsidR="00861572" w:rsidRDefault="00861572" w:rsidP="00E419E2">
            <w:pPr>
              <w:jc w:val="both"/>
              <w:rPr>
                <w:rFonts w:ascii="David" w:hAnsi="David"/>
                <w:color w:val="222222"/>
                <w:sz w:val="24"/>
                <w:rtl/>
              </w:rPr>
            </w:pPr>
          </w:p>
          <w:p w:rsidR="00861572" w:rsidRPr="002B1075" w:rsidRDefault="00861572" w:rsidP="00E419E2">
            <w:pPr>
              <w:jc w:val="both"/>
              <w:rPr>
                <w:rFonts w:ascii="David" w:hAnsi="David"/>
                <w:color w:val="222222"/>
                <w:sz w:val="24"/>
                <w:rtl/>
              </w:rPr>
            </w:pPr>
            <w:r w:rsidRPr="002B1075">
              <w:rPr>
                <w:rFonts w:ascii="David" w:hAnsi="David"/>
                <w:color w:val="222222"/>
                <w:sz w:val="24"/>
                <w:rtl/>
              </w:rPr>
              <w:t xml:space="preserve">האם צריך להוציא </w:t>
            </w:r>
            <w:proofErr w:type="spellStart"/>
            <w:r w:rsidRPr="002B1075">
              <w:rPr>
                <w:rFonts w:ascii="David" w:hAnsi="David"/>
                <w:color w:val="222222"/>
                <w:sz w:val="24"/>
                <w:rtl/>
              </w:rPr>
              <w:t>אי</w:t>
            </w:r>
            <w:r w:rsidR="005B27C3">
              <w:rPr>
                <w:rFonts w:ascii="David" w:hAnsi="David" w:hint="cs"/>
                <w:color w:val="222222"/>
                <w:sz w:val="24"/>
                <w:rtl/>
              </w:rPr>
              <w:t>י</w:t>
            </w:r>
            <w:r w:rsidRPr="002B1075">
              <w:rPr>
                <w:rFonts w:ascii="David" w:hAnsi="David"/>
                <w:color w:val="222222"/>
                <w:sz w:val="24"/>
                <w:rtl/>
              </w:rPr>
              <w:t>ריס</w:t>
            </w:r>
            <w:proofErr w:type="spellEnd"/>
            <w:r w:rsidRPr="002B1075">
              <w:rPr>
                <w:rFonts w:ascii="David" w:hAnsi="David"/>
                <w:color w:val="222222"/>
                <w:sz w:val="24"/>
                <w:rtl/>
              </w:rPr>
              <w:t xml:space="preserve"> לכל עבודה?</w:t>
            </w:r>
          </w:p>
          <w:p w:rsidR="00861572" w:rsidRPr="002B1075" w:rsidRDefault="00861572" w:rsidP="00E419E2">
            <w:pPr>
              <w:jc w:val="both"/>
              <w:rPr>
                <w:rFonts w:ascii="David" w:hAnsi="David"/>
                <w:color w:val="222222"/>
                <w:sz w:val="24"/>
              </w:rPr>
            </w:pPr>
          </w:p>
        </w:tc>
        <w:tc>
          <w:tcPr>
            <w:tcW w:w="4395" w:type="dxa"/>
            <w:tcBorders>
              <w:left w:val="single" w:sz="4" w:space="0" w:color="auto"/>
              <w:right w:val="single" w:sz="4" w:space="0" w:color="auto"/>
            </w:tcBorders>
          </w:tcPr>
          <w:p w:rsidR="00861572" w:rsidRDefault="00861572" w:rsidP="00E419E2">
            <w:pPr>
              <w:jc w:val="both"/>
              <w:rPr>
                <w:rFonts w:ascii="David" w:hAnsi="David"/>
                <w:color w:val="000000"/>
                <w:sz w:val="24"/>
                <w:rtl/>
              </w:rPr>
            </w:pPr>
          </w:p>
          <w:p w:rsidR="00861572" w:rsidRPr="008F32D6" w:rsidRDefault="00861572" w:rsidP="00E419E2">
            <w:pPr>
              <w:jc w:val="both"/>
              <w:rPr>
                <w:rFonts w:ascii="David" w:hAnsi="David"/>
                <w:b/>
                <w:bCs/>
                <w:color w:val="000000"/>
                <w:sz w:val="24"/>
                <w:rtl/>
              </w:rPr>
            </w:pPr>
            <w:r w:rsidRPr="008F32D6">
              <w:rPr>
                <w:rFonts w:ascii="David" w:hAnsi="David" w:hint="cs"/>
                <w:b/>
                <w:bCs/>
                <w:color w:val="000000"/>
                <w:sz w:val="24"/>
                <w:rtl/>
              </w:rPr>
              <w:t xml:space="preserve">תדפיסי </w:t>
            </w:r>
            <w:proofErr w:type="spellStart"/>
            <w:r w:rsidRPr="008F32D6">
              <w:rPr>
                <w:rFonts w:ascii="David" w:hAnsi="David" w:hint="cs"/>
                <w:b/>
                <w:bCs/>
                <w:color w:val="000000"/>
                <w:sz w:val="24"/>
                <w:rtl/>
              </w:rPr>
              <w:t>אייריס</w:t>
            </w:r>
            <w:proofErr w:type="spellEnd"/>
            <w:r w:rsidRPr="008F32D6">
              <w:rPr>
                <w:rFonts w:ascii="David" w:hAnsi="David" w:hint="cs"/>
                <w:b/>
                <w:bCs/>
                <w:color w:val="000000"/>
                <w:sz w:val="24"/>
                <w:rtl/>
              </w:rPr>
              <w:t xml:space="preserve"> יידרשו רק במידה והדבר צוין</w:t>
            </w:r>
            <w:r>
              <w:rPr>
                <w:rFonts w:ascii="David" w:hAnsi="David" w:hint="cs"/>
                <w:b/>
                <w:bCs/>
                <w:color w:val="000000"/>
                <w:sz w:val="24"/>
                <w:rtl/>
              </w:rPr>
              <w:t xml:space="preserve"> במפורש </w:t>
            </w:r>
            <w:r w:rsidRPr="008F32D6">
              <w:rPr>
                <w:rFonts w:ascii="David" w:hAnsi="David" w:hint="cs"/>
                <w:b/>
                <w:bCs/>
                <w:color w:val="000000"/>
                <w:sz w:val="24"/>
                <w:rtl/>
              </w:rPr>
              <w:t>במסגרת הפנייה הפרטנית</w:t>
            </w:r>
            <w:r w:rsidR="005B27C3">
              <w:rPr>
                <w:rFonts w:ascii="David" w:hAnsi="David" w:hint="cs"/>
                <w:b/>
                <w:bCs/>
                <w:color w:val="000000"/>
                <w:sz w:val="24"/>
                <w:rtl/>
              </w:rPr>
              <w:t xml:space="preserve"> לספ</w:t>
            </w:r>
            <w:r>
              <w:rPr>
                <w:rFonts w:ascii="David" w:hAnsi="David" w:hint="cs"/>
                <w:b/>
                <w:bCs/>
                <w:color w:val="000000"/>
                <w:sz w:val="24"/>
                <w:rtl/>
              </w:rPr>
              <w:t>קי המסגרת</w:t>
            </w:r>
            <w:r w:rsidRPr="008F32D6">
              <w:rPr>
                <w:rFonts w:ascii="David" w:hAnsi="David" w:hint="cs"/>
                <w:b/>
                <w:bCs/>
                <w:color w:val="000000"/>
                <w:sz w:val="24"/>
                <w:rtl/>
              </w:rPr>
              <w:t>.</w:t>
            </w:r>
          </w:p>
          <w:p w:rsidR="00861572" w:rsidRDefault="00861572" w:rsidP="00E419E2">
            <w:pPr>
              <w:jc w:val="both"/>
              <w:rPr>
                <w:rFonts w:ascii="David" w:hAnsi="David"/>
                <w:color w:val="000000"/>
                <w:sz w:val="24"/>
                <w:rtl/>
              </w:rPr>
            </w:pPr>
            <w:r>
              <w:rPr>
                <w:rFonts w:ascii="David" w:hAnsi="David" w:hint="cs"/>
                <w:b/>
                <w:bCs/>
                <w:color w:val="000000"/>
                <w:sz w:val="24"/>
                <w:rtl/>
              </w:rPr>
              <w:t>התייחסות להליך הפנייה הפרטנית ותנאיה</w:t>
            </w:r>
            <w:r w:rsidRPr="008F32D6">
              <w:rPr>
                <w:rFonts w:ascii="David" w:hAnsi="David" w:hint="cs"/>
                <w:b/>
                <w:bCs/>
                <w:color w:val="000000"/>
                <w:sz w:val="24"/>
                <w:rtl/>
              </w:rPr>
              <w:t xml:space="preserve"> ניתן למצוא בסעיף 10 למכרז.</w:t>
            </w:r>
            <w:r>
              <w:rPr>
                <w:rFonts w:ascii="David" w:hAnsi="David" w:hint="cs"/>
                <w:color w:val="000000"/>
                <w:sz w:val="24"/>
                <w:rtl/>
              </w:rPr>
              <w:t xml:space="preserve"> </w:t>
            </w:r>
          </w:p>
          <w:p w:rsidR="005B27C3" w:rsidRDefault="005B27C3" w:rsidP="00E419E2">
            <w:pPr>
              <w:jc w:val="both"/>
              <w:rPr>
                <w:rFonts w:ascii="David" w:hAnsi="David"/>
                <w:color w:val="000000"/>
                <w:sz w:val="24"/>
                <w:rtl/>
              </w:rPr>
            </w:pPr>
          </w:p>
          <w:p w:rsidR="005B27C3" w:rsidRPr="002B1075" w:rsidRDefault="005B27C3" w:rsidP="00E419E2">
            <w:pPr>
              <w:jc w:val="both"/>
              <w:rPr>
                <w:rFonts w:ascii="David" w:hAnsi="David"/>
                <w:color w:val="000000"/>
                <w:sz w:val="24"/>
                <w:rtl/>
              </w:rPr>
            </w:pPr>
          </w:p>
        </w:tc>
      </w:tr>
      <w:tr w:rsidR="00861572" w:rsidRPr="002B1075" w:rsidTr="005B27C3">
        <w:trPr>
          <w:trHeight w:val="1113"/>
        </w:trPr>
        <w:tc>
          <w:tcPr>
            <w:tcW w:w="992" w:type="dxa"/>
            <w:tcBorders>
              <w:left w:val="single" w:sz="4" w:space="0" w:color="auto"/>
              <w:right w:val="single" w:sz="4" w:space="0" w:color="auto"/>
            </w:tcBorders>
          </w:tcPr>
          <w:p w:rsidR="00861572" w:rsidRDefault="00861572" w:rsidP="00E419E2">
            <w:pPr>
              <w:spacing w:before="100" w:beforeAutospacing="1" w:after="100" w:afterAutospacing="1"/>
              <w:contextualSpacing/>
              <w:jc w:val="both"/>
              <w:rPr>
                <w:rFonts w:ascii="David" w:hAnsi="David"/>
                <w:sz w:val="24"/>
                <w:rtl/>
              </w:rPr>
            </w:pPr>
          </w:p>
          <w:p w:rsidR="00861572" w:rsidRDefault="00861572" w:rsidP="00E419E2">
            <w:pPr>
              <w:spacing w:before="100" w:beforeAutospacing="1" w:after="100" w:afterAutospacing="1"/>
              <w:contextualSpacing/>
              <w:jc w:val="both"/>
              <w:rPr>
                <w:rFonts w:ascii="David" w:hAnsi="David"/>
                <w:sz w:val="24"/>
                <w:rtl/>
              </w:rPr>
            </w:pPr>
            <w:r>
              <w:rPr>
                <w:rFonts w:ascii="David" w:hAnsi="David" w:hint="cs"/>
                <w:sz w:val="24"/>
                <w:rtl/>
              </w:rPr>
              <w:t xml:space="preserve">סעיף </w:t>
            </w:r>
            <w:proofErr w:type="spellStart"/>
            <w:r>
              <w:rPr>
                <w:rFonts w:ascii="David" w:hAnsi="David" w:hint="cs"/>
                <w:sz w:val="24"/>
                <w:rtl/>
              </w:rPr>
              <w:t>יט</w:t>
            </w:r>
            <w:proofErr w:type="spellEnd"/>
            <w:r>
              <w:rPr>
                <w:rFonts w:ascii="David" w:hAnsi="David" w:hint="cs"/>
                <w:sz w:val="24"/>
                <w:rtl/>
              </w:rPr>
              <w:t>'</w:t>
            </w:r>
          </w:p>
          <w:p w:rsidR="00861572" w:rsidRPr="002B1075" w:rsidRDefault="00861572" w:rsidP="00E419E2">
            <w:pPr>
              <w:spacing w:before="100" w:beforeAutospacing="1" w:after="100" w:afterAutospacing="1"/>
              <w:contextualSpacing/>
              <w:jc w:val="both"/>
              <w:rPr>
                <w:rFonts w:ascii="David" w:hAnsi="David"/>
                <w:sz w:val="24"/>
                <w:rtl/>
              </w:rPr>
            </w:pPr>
            <w:r>
              <w:rPr>
                <w:rFonts w:ascii="David" w:hAnsi="David" w:hint="cs"/>
                <w:sz w:val="24"/>
                <w:rtl/>
              </w:rPr>
              <w:t>למכרז</w:t>
            </w:r>
          </w:p>
        </w:tc>
        <w:tc>
          <w:tcPr>
            <w:tcW w:w="4252" w:type="dxa"/>
            <w:tcBorders>
              <w:top w:val="single" w:sz="4" w:space="0" w:color="auto"/>
              <w:left w:val="single" w:sz="4" w:space="0" w:color="auto"/>
              <w:bottom w:val="single" w:sz="4" w:space="0" w:color="auto"/>
              <w:right w:val="single" w:sz="4" w:space="0" w:color="auto"/>
            </w:tcBorders>
          </w:tcPr>
          <w:p w:rsidR="00861572" w:rsidRDefault="00861572" w:rsidP="00E419E2">
            <w:pPr>
              <w:jc w:val="both"/>
              <w:rPr>
                <w:rFonts w:ascii="David" w:hAnsi="David"/>
                <w:color w:val="222222"/>
                <w:sz w:val="24"/>
                <w:rtl/>
              </w:rPr>
            </w:pPr>
          </w:p>
          <w:p w:rsidR="00861572" w:rsidRPr="002B1075" w:rsidRDefault="00861572" w:rsidP="00E419E2">
            <w:pPr>
              <w:jc w:val="both"/>
              <w:rPr>
                <w:rFonts w:ascii="David" w:hAnsi="David"/>
                <w:color w:val="222222"/>
                <w:sz w:val="24"/>
                <w:rtl/>
              </w:rPr>
            </w:pPr>
            <w:r w:rsidRPr="002B1075">
              <w:rPr>
                <w:rFonts w:ascii="David" w:hAnsi="David"/>
                <w:color w:val="222222"/>
                <w:sz w:val="24"/>
                <w:rtl/>
              </w:rPr>
              <w:t>תוך כמה זמן צריך להעביר את העתקי השמש המודפסים למשרד לפ"מ בתל אביב?</w:t>
            </w:r>
          </w:p>
          <w:p w:rsidR="00861572" w:rsidRPr="002B1075" w:rsidRDefault="00861572" w:rsidP="00E419E2">
            <w:pPr>
              <w:jc w:val="both"/>
              <w:rPr>
                <w:rFonts w:ascii="David" w:hAnsi="David"/>
                <w:sz w:val="24"/>
                <w:rtl/>
              </w:rPr>
            </w:pPr>
          </w:p>
        </w:tc>
        <w:tc>
          <w:tcPr>
            <w:tcW w:w="4395" w:type="dxa"/>
            <w:tcBorders>
              <w:left w:val="single" w:sz="4" w:space="0" w:color="auto"/>
              <w:right w:val="single" w:sz="4" w:space="0" w:color="auto"/>
            </w:tcBorders>
          </w:tcPr>
          <w:p w:rsidR="00861572" w:rsidRPr="002B1075" w:rsidRDefault="00861572" w:rsidP="00E419E2">
            <w:pPr>
              <w:jc w:val="both"/>
              <w:rPr>
                <w:rFonts w:ascii="David" w:hAnsi="David"/>
                <w:color w:val="000000"/>
                <w:sz w:val="24"/>
                <w:rtl/>
              </w:rPr>
            </w:pPr>
          </w:p>
          <w:p w:rsidR="005B27C3" w:rsidRDefault="00861572" w:rsidP="00E419E2">
            <w:pPr>
              <w:jc w:val="both"/>
              <w:rPr>
                <w:rFonts w:ascii="David" w:hAnsi="David"/>
                <w:b/>
                <w:bCs/>
                <w:color w:val="000000"/>
                <w:sz w:val="24"/>
                <w:rtl/>
              </w:rPr>
            </w:pPr>
            <w:r w:rsidRPr="002B1075">
              <w:rPr>
                <w:rFonts w:ascii="David" w:hAnsi="David"/>
                <w:b/>
                <w:bCs/>
                <w:color w:val="000000"/>
                <w:sz w:val="24"/>
                <w:rtl/>
              </w:rPr>
              <w:t>בהתאם לסעיף 2יט</w:t>
            </w:r>
            <w:r>
              <w:rPr>
                <w:rFonts w:ascii="David" w:hAnsi="David" w:hint="cs"/>
                <w:b/>
                <w:bCs/>
                <w:color w:val="000000"/>
                <w:sz w:val="24"/>
                <w:rtl/>
              </w:rPr>
              <w:t>'</w:t>
            </w:r>
            <w:r w:rsidRPr="002B1075">
              <w:rPr>
                <w:rFonts w:ascii="David" w:hAnsi="David"/>
                <w:b/>
                <w:bCs/>
                <w:color w:val="000000"/>
                <w:sz w:val="24"/>
                <w:rtl/>
              </w:rPr>
              <w:t xml:space="preserve"> למכרז, ספק המסגרת יידרש לספק את שירותי הדפוס בהקדם האפשרי, ובהתאם ללוח זמנים</w:t>
            </w:r>
            <w:r>
              <w:rPr>
                <w:rFonts w:ascii="David" w:hAnsi="David"/>
                <w:b/>
                <w:bCs/>
                <w:color w:val="000000"/>
                <w:sz w:val="24"/>
                <w:rtl/>
              </w:rPr>
              <w:t xml:space="preserve"> אשר יקבע במסגרת הפנייה הפרטנית</w:t>
            </w:r>
            <w:r>
              <w:rPr>
                <w:rFonts w:ascii="David" w:hAnsi="David" w:hint="cs"/>
                <w:b/>
                <w:bCs/>
                <w:color w:val="000000"/>
                <w:sz w:val="24"/>
                <w:rtl/>
              </w:rPr>
              <w:t>.</w:t>
            </w:r>
            <w:r>
              <w:rPr>
                <w:rFonts w:ascii="David" w:hAnsi="David"/>
                <w:b/>
                <w:bCs/>
                <w:color w:val="000000"/>
                <w:sz w:val="24"/>
                <w:rtl/>
              </w:rPr>
              <w:t xml:space="preserve"> </w:t>
            </w:r>
          </w:p>
          <w:p w:rsidR="005B27C3" w:rsidRDefault="005B27C3" w:rsidP="00E419E2">
            <w:pPr>
              <w:jc w:val="both"/>
              <w:rPr>
                <w:rFonts w:ascii="David" w:hAnsi="David"/>
                <w:b/>
                <w:bCs/>
                <w:sz w:val="24"/>
                <w:rtl/>
              </w:rPr>
            </w:pPr>
          </w:p>
          <w:p w:rsidR="005B27C3" w:rsidRPr="002B1075" w:rsidRDefault="005B27C3" w:rsidP="00E419E2">
            <w:pPr>
              <w:jc w:val="both"/>
              <w:rPr>
                <w:rFonts w:ascii="David" w:hAnsi="David"/>
                <w:b/>
                <w:bCs/>
                <w:sz w:val="24"/>
                <w:rtl/>
              </w:rPr>
            </w:pPr>
          </w:p>
        </w:tc>
      </w:tr>
      <w:tr w:rsidR="00861572" w:rsidRPr="002B1075" w:rsidTr="005B27C3">
        <w:trPr>
          <w:trHeight w:val="1113"/>
        </w:trPr>
        <w:tc>
          <w:tcPr>
            <w:tcW w:w="992" w:type="dxa"/>
            <w:tcBorders>
              <w:left w:val="single" w:sz="4" w:space="0" w:color="auto"/>
              <w:right w:val="single" w:sz="4" w:space="0" w:color="auto"/>
            </w:tcBorders>
          </w:tcPr>
          <w:p w:rsidR="00861572" w:rsidRDefault="00861572" w:rsidP="00E419E2">
            <w:pPr>
              <w:spacing w:before="100" w:beforeAutospacing="1" w:after="100" w:afterAutospacing="1"/>
              <w:contextualSpacing/>
              <w:jc w:val="both"/>
              <w:rPr>
                <w:rFonts w:ascii="David" w:hAnsi="David"/>
                <w:sz w:val="24"/>
                <w:rtl/>
              </w:rPr>
            </w:pPr>
          </w:p>
          <w:p w:rsidR="005B27C3" w:rsidRPr="002B1075" w:rsidRDefault="005B27C3" w:rsidP="00E419E2">
            <w:pPr>
              <w:spacing w:before="100" w:beforeAutospacing="1" w:after="100" w:afterAutospacing="1"/>
              <w:contextualSpacing/>
              <w:jc w:val="both"/>
              <w:rPr>
                <w:rFonts w:ascii="David" w:hAnsi="David"/>
                <w:sz w:val="24"/>
                <w:rtl/>
              </w:rPr>
            </w:pPr>
          </w:p>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סעיף 5ו' למכרז; סעיף 11 למכרז</w:t>
            </w:r>
          </w:p>
          <w:p w:rsidR="00861572" w:rsidRPr="002B1075" w:rsidRDefault="00861572"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sz w:val="24"/>
                <w:rtl/>
              </w:rPr>
            </w:pPr>
          </w:p>
          <w:p w:rsidR="005B27C3" w:rsidRDefault="005B27C3" w:rsidP="00E419E2">
            <w:pPr>
              <w:jc w:val="both"/>
              <w:rPr>
                <w:rFonts w:ascii="David" w:hAnsi="David"/>
                <w:sz w:val="24"/>
                <w:rtl/>
              </w:rPr>
            </w:pPr>
          </w:p>
          <w:p w:rsidR="00774263" w:rsidRDefault="00861572" w:rsidP="00E419E2">
            <w:pPr>
              <w:jc w:val="both"/>
              <w:rPr>
                <w:rFonts w:ascii="David" w:hAnsi="David"/>
                <w:sz w:val="24"/>
                <w:rtl/>
              </w:rPr>
            </w:pPr>
            <w:r w:rsidRPr="002B1075">
              <w:rPr>
                <w:rFonts w:ascii="David" w:hAnsi="David"/>
                <w:sz w:val="24"/>
                <w:rtl/>
              </w:rPr>
              <w:t xml:space="preserve">האם הערבות אמורה להיות צמודה? אחד מתנאי הסף הקבועים בסעיף 5ה למכרז קובע: </w:t>
            </w:r>
          </w:p>
          <w:p w:rsidR="00861572" w:rsidRPr="002B1075" w:rsidRDefault="00861572" w:rsidP="00E419E2">
            <w:pPr>
              <w:jc w:val="both"/>
              <w:rPr>
                <w:rFonts w:ascii="David" w:hAnsi="David"/>
                <w:sz w:val="24"/>
              </w:rPr>
            </w:pPr>
          </w:p>
          <w:p w:rsidR="00861572" w:rsidRPr="002B1075" w:rsidRDefault="00861572" w:rsidP="00E419E2">
            <w:pPr>
              <w:jc w:val="both"/>
              <w:rPr>
                <w:rFonts w:ascii="David" w:hAnsi="David"/>
                <w:sz w:val="24"/>
                <w:rtl/>
              </w:rPr>
            </w:pPr>
            <w:r w:rsidRPr="002B1075">
              <w:rPr>
                <w:rFonts w:ascii="David" w:hAnsi="David"/>
                <w:sz w:val="24"/>
                <w:rtl/>
              </w:rPr>
              <w:t>"המציע הגיש ערבות מכרז צמודה למדד המחירים הכללי לצרכן, אשר אינה מוגבלת בכל תנאי ו/או סייג, בסך 50,000 (חמישים אלף) ₪ בתוקף עד ליום 07.08.2018, כמפורט בסעיף 5(ו) למכרז".</w:t>
            </w:r>
          </w:p>
          <w:p w:rsidR="00861572" w:rsidRPr="002B1075" w:rsidRDefault="00861572" w:rsidP="00E419E2">
            <w:pPr>
              <w:jc w:val="both"/>
              <w:rPr>
                <w:rFonts w:ascii="David" w:hAnsi="David"/>
                <w:sz w:val="24"/>
                <w:rtl/>
              </w:rPr>
            </w:pPr>
            <w:r w:rsidRPr="002B1075">
              <w:rPr>
                <w:rFonts w:ascii="David" w:hAnsi="David"/>
                <w:sz w:val="24"/>
                <w:rtl/>
              </w:rPr>
              <w:t>אני מבינה שיש לתת 2 ערבויות סה"כ כל אחת</w:t>
            </w:r>
          </w:p>
          <w:p w:rsidR="00861572" w:rsidRPr="002B1075" w:rsidRDefault="00861572" w:rsidP="00E419E2">
            <w:pPr>
              <w:jc w:val="both"/>
              <w:rPr>
                <w:rFonts w:ascii="David" w:hAnsi="David"/>
                <w:sz w:val="24"/>
                <w:rtl/>
              </w:rPr>
            </w:pPr>
            <w:r w:rsidRPr="002B1075">
              <w:rPr>
                <w:rFonts w:ascii="David" w:hAnsi="David"/>
                <w:sz w:val="24"/>
                <w:rtl/>
              </w:rPr>
              <w:t>מהן 50,000,000 ₪.</w:t>
            </w:r>
          </w:p>
        </w:tc>
        <w:tc>
          <w:tcPr>
            <w:tcW w:w="4395" w:type="dxa"/>
            <w:tcBorders>
              <w:left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b/>
                <w:bCs/>
                <w:sz w:val="24"/>
                <w:rtl/>
              </w:rPr>
            </w:pPr>
          </w:p>
          <w:p w:rsidR="005B27C3" w:rsidRDefault="005B27C3" w:rsidP="00E419E2">
            <w:pPr>
              <w:spacing w:before="100" w:beforeAutospacing="1" w:after="100" w:afterAutospacing="1"/>
              <w:contextualSpacing/>
              <w:jc w:val="both"/>
              <w:rPr>
                <w:rFonts w:ascii="David" w:hAnsi="David"/>
                <w:b/>
                <w:bCs/>
                <w:sz w:val="24"/>
                <w:rtl/>
              </w:rPr>
            </w:pPr>
          </w:p>
          <w:p w:rsidR="00861572" w:rsidRPr="002B1075" w:rsidRDefault="00861572" w:rsidP="00E419E2">
            <w:pPr>
              <w:spacing w:before="100" w:beforeAutospacing="1" w:after="100" w:afterAutospacing="1"/>
              <w:contextualSpacing/>
              <w:jc w:val="both"/>
              <w:rPr>
                <w:rFonts w:ascii="David" w:hAnsi="David"/>
                <w:b/>
                <w:bCs/>
                <w:sz w:val="24"/>
                <w:rtl/>
              </w:rPr>
            </w:pPr>
            <w:r w:rsidRPr="002B1075">
              <w:rPr>
                <w:rFonts w:ascii="David" w:hAnsi="David"/>
                <w:b/>
                <w:bCs/>
                <w:sz w:val="24"/>
                <w:rtl/>
              </w:rPr>
              <w:t xml:space="preserve">בהתאם לסעיף 5ו' למכרז הדן בנושא ערבות המכרז, על מציע לצרף להצעתו - </w:t>
            </w:r>
          </w:p>
          <w:p w:rsidR="00861572" w:rsidRPr="002B1075" w:rsidRDefault="00861572" w:rsidP="00E419E2">
            <w:pPr>
              <w:spacing w:before="100" w:beforeAutospacing="1" w:after="100" w:afterAutospacing="1"/>
              <w:contextualSpacing/>
              <w:jc w:val="both"/>
              <w:rPr>
                <w:rFonts w:ascii="David" w:hAnsi="David"/>
                <w:b/>
                <w:bCs/>
                <w:sz w:val="24"/>
                <w:rtl/>
              </w:rPr>
            </w:pPr>
            <w:r w:rsidRPr="002B1075">
              <w:rPr>
                <w:rFonts w:ascii="David" w:hAnsi="David"/>
                <w:b/>
                <w:bCs/>
                <w:sz w:val="24"/>
                <w:rtl/>
              </w:rPr>
              <w:t xml:space="preserve">"ערבות אוטונומית מקורית (להלן: "ערבות מכרז") צמודה למדד המחירים הכללי לצרכן, אשר אינה מוגבלת בכל תנאי ו/או סייג בסך 50,000 (חמישים אלף) ₪ </w:t>
            </w:r>
            <w:r w:rsidRPr="002B1075">
              <w:rPr>
                <w:rFonts w:ascii="David" w:hAnsi="David"/>
                <w:b/>
                <w:bCs/>
                <w:sz w:val="24"/>
                <w:u w:val="single"/>
                <w:rtl/>
              </w:rPr>
              <w:t>בתוקף עד ליום 07/08/18</w:t>
            </w:r>
            <w:r w:rsidRPr="002B1075">
              <w:rPr>
                <w:rFonts w:ascii="David" w:hAnsi="David"/>
                <w:b/>
                <w:bCs/>
                <w:sz w:val="24"/>
                <w:rtl/>
              </w:rPr>
              <w:t>".</w:t>
            </w:r>
          </w:p>
          <w:p w:rsidR="005B27C3" w:rsidRDefault="005B27C3" w:rsidP="00E419E2">
            <w:pPr>
              <w:spacing w:before="100" w:beforeAutospacing="1" w:after="100" w:afterAutospacing="1"/>
              <w:contextualSpacing/>
              <w:jc w:val="both"/>
              <w:rPr>
                <w:rFonts w:ascii="David" w:hAnsi="David"/>
                <w:b/>
                <w:bCs/>
                <w:sz w:val="24"/>
                <w:rtl/>
              </w:rPr>
            </w:pPr>
          </w:p>
          <w:p w:rsidR="00861572" w:rsidRPr="002B1075" w:rsidRDefault="00861572" w:rsidP="00E419E2">
            <w:pPr>
              <w:spacing w:before="100" w:beforeAutospacing="1" w:after="100" w:afterAutospacing="1"/>
              <w:contextualSpacing/>
              <w:jc w:val="both"/>
              <w:rPr>
                <w:rFonts w:ascii="David" w:hAnsi="David"/>
                <w:b/>
                <w:bCs/>
                <w:sz w:val="24"/>
                <w:rtl/>
              </w:rPr>
            </w:pPr>
            <w:r w:rsidRPr="002B1075">
              <w:rPr>
                <w:rFonts w:ascii="David" w:hAnsi="David"/>
                <w:b/>
                <w:bCs/>
                <w:sz w:val="24"/>
                <w:rtl/>
              </w:rPr>
              <w:t>נוסח ערבות המכרז הינו עפ"י נספח ג'1 למכרז.</w:t>
            </w:r>
          </w:p>
          <w:p w:rsidR="00861572" w:rsidRPr="002B1075" w:rsidRDefault="00861572" w:rsidP="00E419E2">
            <w:pPr>
              <w:spacing w:before="100" w:beforeAutospacing="1" w:after="100" w:afterAutospacing="1"/>
              <w:contextualSpacing/>
              <w:jc w:val="both"/>
              <w:rPr>
                <w:rFonts w:ascii="David" w:hAnsi="David"/>
                <w:b/>
                <w:bCs/>
                <w:sz w:val="24"/>
                <w:rtl/>
              </w:rPr>
            </w:pPr>
          </w:p>
          <w:p w:rsidR="00861572" w:rsidRPr="002B1075" w:rsidRDefault="00861572" w:rsidP="00E419E2">
            <w:pPr>
              <w:spacing w:before="100" w:beforeAutospacing="1" w:after="100" w:afterAutospacing="1"/>
              <w:contextualSpacing/>
              <w:jc w:val="both"/>
              <w:rPr>
                <w:rFonts w:ascii="David" w:hAnsi="David"/>
                <w:b/>
                <w:bCs/>
                <w:sz w:val="24"/>
                <w:rtl/>
              </w:rPr>
            </w:pPr>
            <w:r w:rsidRPr="002B1075">
              <w:rPr>
                <w:rFonts w:ascii="David" w:hAnsi="David"/>
                <w:b/>
                <w:bCs/>
                <w:sz w:val="24"/>
                <w:rtl/>
              </w:rPr>
              <w:t>מציע אשר ייבחר כזוכה במכרז ויחתום על הסכם מסגרת, יחליף את ערבות המכרז בערבות מסגרת בנוסח הקבוע בנספח ג'2 למכרז, כאמור בסעיף 11 למכרז.</w:t>
            </w:r>
          </w:p>
          <w:p w:rsidR="00861572" w:rsidRPr="002B1075" w:rsidRDefault="00861572" w:rsidP="00E419E2">
            <w:pPr>
              <w:spacing w:before="100" w:beforeAutospacing="1" w:after="100" w:afterAutospacing="1"/>
              <w:contextualSpacing/>
              <w:jc w:val="both"/>
              <w:rPr>
                <w:rFonts w:ascii="David" w:hAnsi="David"/>
                <w:b/>
                <w:bCs/>
                <w:sz w:val="24"/>
                <w:rtl/>
              </w:rPr>
            </w:pPr>
          </w:p>
          <w:p w:rsidR="00861572" w:rsidRDefault="00861572" w:rsidP="00E419E2">
            <w:pPr>
              <w:spacing w:before="100" w:beforeAutospacing="1" w:after="100" w:afterAutospacing="1"/>
              <w:contextualSpacing/>
              <w:jc w:val="both"/>
              <w:rPr>
                <w:rFonts w:ascii="David" w:hAnsi="David"/>
                <w:b/>
                <w:bCs/>
                <w:sz w:val="24"/>
                <w:rtl/>
              </w:rPr>
            </w:pPr>
            <w:r w:rsidRPr="002B1075">
              <w:rPr>
                <w:rFonts w:ascii="David" w:hAnsi="David"/>
                <w:b/>
                <w:bCs/>
                <w:sz w:val="24"/>
                <w:rtl/>
              </w:rPr>
              <w:t xml:space="preserve">הווה אומר, כי בשלב הגשת ההצעה למכרז על המציע לצרף ערבות מכרז </w:t>
            </w:r>
            <w:r w:rsidR="005B27C3">
              <w:rPr>
                <w:rFonts w:ascii="David" w:hAnsi="David" w:hint="cs"/>
                <w:b/>
                <w:bCs/>
                <w:sz w:val="24"/>
                <w:rtl/>
              </w:rPr>
              <w:t xml:space="preserve">בלבד ע"ס 50,000 ₪ (חמישים אלף ₪) </w:t>
            </w:r>
            <w:r w:rsidRPr="002B1075">
              <w:rPr>
                <w:rFonts w:ascii="David" w:hAnsi="David"/>
                <w:b/>
                <w:bCs/>
                <w:sz w:val="24"/>
                <w:rtl/>
              </w:rPr>
              <w:t>בנוסח הקבוע בנספח ג'1 למכרז.</w:t>
            </w:r>
          </w:p>
          <w:p w:rsidR="00774263" w:rsidRPr="002B1075" w:rsidRDefault="00774263" w:rsidP="00E419E2">
            <w:pPr>
              <w:spacing w:before="100" w:beforeAutospacing="1" w:after="100" w:afterAutospacing="1"/>
              <w:contextualSpacing/>
              <w:jc w:val="both"/>
              <w:rPr>
                <w:rFonts w:ascii="David" w:hAnsi="David"/>
                <w:b/>
                <w:bCs/>
                <w:sz w:val="24"/>
                <w:rtl/>
              </w:rPr>
            </w:pPr>
          </w:p>
          <w:p w:rsidR="005B27C3" w:rsidRDefault="00861572" w:rsidP="00E419E2">
            <w:pPr>
              <w:spacing w:before="100" w:beforeAutospacing="1" w:after="100" w:afterAutospacing="1"/>
              <w:contextualSpacing/>
              <w:jc w:val="both"/>
              <w:rPr>
                <w:rFonts w:ascii="David" w:hAnsi="David"/>
                <w:sz w:val="24"/>
                <w:rtl/>
              </w:rPr>
            </w:pPr>
            <w:r w:rsidRPr="002B1075">
              <w:rPr>
                <w:rFonts w:ascii="David" w:hAnsi="David"/>
                <w:b/>
                <w:bCs/>
                <w:sz w:val="24"/>
                <w:rtl/>
              </w:rPr>
              <w:t xml:space="preserve"> </w:t>
            </w:r>
          </w:p>
          <w:p w:rsidR="00774263" w:rsidRPr="002B1075" w:rsidRDefault="00774263" w:rsidP="00E419E2">
            <w:pPr>
              <w:spacing w:before="100" w:beforeAutospacing="1" w:after="100" w:afterAutospacing="1"/>
              <w:contextualSpacing/>
              <w:jc w:val="both"/>
              <w:rPr>
                <w:rFonts w:ascii="David" w:hAnsi="David"/>
                <w:sz w:val="24"/>
                <w:rtl/>
              </w:rPr>
            </w:pPr>
          </w:p>
        </w:tc>
      </w:tr>
      <w:tr w:rsidR="00861572" w:rsidRPr="002B1075" w:rsidTr="005B27C3">
        <w:trPr>
          <w:trHeight w:val="1113"/>
        </w:trPr>
        <w:tc>
          <w:tcPr>
            <w:tcW w:w="992" w:type="dxa"/>
            <w:tcBorders>
              <w:left w:val="single" w:sz="4" w:space="0" w:color="auto"/>
              <w:right w:val="single" w:sz="4" w:space="0" w:color="auto"/>
            </w:tcBorders>
          </w:tcPr>
          <w:p w:rsidR="00861572" w:rsidRDefault="00861572" w:rsidP="00E419E2">
            <w:pPr>
              <w:spacing w:before="100" w:beforeAutospacing="1" w:after="100" w:afterAutospacing="1"/>
              <w:contextualSpacing/>
              <w:jc w:val="both"/>
              <w:rPr>
                <w:rFonts w:ascii="David" w:hAnsi="David"/>
                <w:sz w:val="24"/>
                <w:rtl/>
              </w:rPr>
            </w:pPr>
          </w:p>
          <w:p w:rsidR="00861572" w:rsidRDefault="00861572" w:rsidP="00E419E2">
            <w:pPr>
              <w:spacing w:before="100" w:beforeAutospacing="1" w:after="100" w:afterAutospacing="1"/>
              <w:contextualSpacing/>
              <w:jc w:val="both"/>
              <w:rPr>
                <w:rFonts w:ascii="David" w:hAnsi="David"/>
                <w:sz w:val="24"/>
                <w:rtl/>
              </w:rPr>
            </w:pPr>
            <w:r>
              <w:rPr>
                <w:rFonts w:ascii="David" w:hAnsi="David" w:hint="cs"/>
                <w:sz w:val="24"/>
                <w:rtl/>
              </w:rPr>
              <w:t>נספח ב' למכרז, טופס הצעת המחיר</w:t>
            </w:r>
          </w:p>
          <w:p w:rsidR="00861572" w:rsidRPr="002B1075" w:rsidRDefault="00861572"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pStyle w:val="gmail-msolistparagraph"/>
              <w:bidi/>
              <w:spacing w:before="0" w:beforeAutospacing="0" w:after="200" w:afterAutospacing="0" w:line="276" w:lineRule="auto"/>
              <w:jc w:val="both"/>
              <w:rPr>
                <w:rFonts w:ascii="David" w:hAnsi="David" w:cs="David"/>
                <w:rtl/>
              </w:rPr>
            </w:pPr>
          </w:p>
          <w:p w:rsidR="00861572" w:rsidRDefault="00861572" w:rsidP="00E419E2">
            <w:pPr>
              <w:pStyle w:val="gmail-msolistparagraph"/>
              <w:bidi/>
              <w:spacing w:before="0" w:beforeAutospacing="0" w:after="200" w:afterAutospacing="0" w:line="276" w:lineRule="auto"/>
              <w:jc w:val="both"/>
            </w:pPr>
            <w:r>
              <w:rPr>
                <w:rFonts w:ascii="David" w:hAnsi="David" w:cs="David"/>
                <w:rtl/>
              </w:rPr>
              <w:t>בסעיפים בהם לא צוין קובץ סגור – האם המשמעות היא שהגרפיקה באחריות בית הדפוס?</w:t>
            </w:r>
          </w:p>
          <w:p w:rsidR="00861572" w:rsidRPr="00861572" w:rsidRDefault="00861572" w:rsidP="00E419E2">
            <w:pPr>
              <w:jc w:val="both"/>
              <w:rPr>
                <w:rFonts w:ascii="David" w:hAnsi="David"/>
                <w:sz w:val="24"/>
                <w:rtl/>
              </w:rPr>
            </w:pPr>
          </w:p>
        </w:tc>
        <w:tc>
          <w:tcPr>
            <w:tcW w:w="4395" w:type="dxa"/>
            <w:tcBorders>
              <w:left w:val="single" w:sz="4" w:space="0" w:color="auto"/>
              <w:right w:val="single" w:sz="4" w:space="0" w:color="auto"/>
            </w:tcBorders>
          </w:tcPr>
          <w:p w:rsidR="00861572" w:rsidRDefault="00861572" w:rsidP="00E419E2">
            <w:pPr>
              <w:jc w:val="both"/>
              <w:rPr>
                <w:rFonts w:ascii="David" w:hAnsi="David"/>
                <w:b/>
                <w:bCs/>
                <w:sz w:val="24"/>
                <w:rtl/>
              </w:rPr>
            </w:pPr>
          </w:p>
          <w:p w:rsidR="005B27C3" w:rsidRDefault="005B27C3" w:rsidP="00E419E2">
            <w:pPr>
              <w:jc w:val="both"/>
              <w:rPr>
                <w:rFonts w:ascii="David" w:hAnsi="David"/>
                <w:b/>
                <w:bCs/>
                <w:sz w:val="24"/>
                <w:rtl/>
              </w:rPr>
            </w:pPr>
          </w:p>
          <w:p w:rsidR="00861572" w:rsidRDefault="00861572" w:rsidP="00E419E2">
            <w:pPr>
              <w:jc w:val="both"/>
              <w:rPr>
                <w:rFonts w:ascii="David" w:hAnsi="David"/>
                <w:b/>
                <w:bCs/>
                <w:sz w:val="24"/>
                <w:rtl/>
              </w:rPr>
            </w:pPr>
            <w:r>
              <w:rPr>
                <w:rFonts w:ascii="David" w:hAnsi="David" w:hint="cs"/>
                <w:b/>
                <w:bCs/>
                <w:sz w:val="24"/>
                <w:rtl/>
              </w:rPr>
              <w:t>המכרז אינו כולל עבודות בתחום הגרפיקה, העריכה והעיצוב, כאמור בסעיף 1ד' למכרז.</w:t>
            </w:r>
          </w:p>
          <w:p w:rsidR="00861572" w:rsidRDefault="00861572" w:rsidP="00E419E2">
            <w:pPr>
              <w:jc w:val="both"/>
              <w:rPr>
                <w:rFonts w:ascii="David" w:hAnsi="David"/>
                <w:b/>
                <w:bCs/>
                <w:sz w:val="24"/>
                <w:rtl/>
              </w:rPr>
            </w:pPr>
            <w:r>
              <w:rPr>
                <w:rFonts w:ascii="David" w:hAnsi="David" w:hint="cs"/>
                <w:b/>
                <w:bCs/>
                <w:sz w:val="24"/>
                <w:rtl/>
              </w:rPr>
              <w:t xml:space="preserve">כל עבודות הגרפיקה הנדרשות להדפסה </w:t>
            </w:r>
            <w:r w:rsidR="005B27C3">
              <w:rPr>
                <w:rFonts w:ascii="David" w:hAnsi="David" w:hint="cs"/>
                <w:b/>
                <w:bCs/>
                <w:sz w:val="24"/>
                <w:rtl/>
              </w:rPr>
              <w:t xml:space="preserve">וכפי שיפורטו בפנייה הפרטנית, </w:t>
            </w:r>
            <w:r>
              <w:rPr>
                <w:rFonts w:ascii="David" w:hAnsi="David" w:hint="cs"/>
                <w:b/>
                <w:bCs/>
                <w:sz w:val="24"/>
                <w:rtl/>
              </w:rPr>
              <w:t xml:space="preserve">יסופקו על ידי לפ"מ לספק המסגרת בקובץ סגור. </w:t>
            </w: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p w:rsidR="005B27C3" w:rsidRPr="002B1075" w:rsidRDefault="005B27C3" w:rsidP="00E419E2">
            <w:pPr>
              <w:jc w:val="both"/>
              <w:rPr>
                <w:rFonts w:ascii="David" w:hAnsi="David"/>
                <w:b/>
                <w:bCs/>
                <w:sz w:val="24"/>
                <w:rtl/>
              </w:rPr>
            </w:pPr>
          </w:p>
        </w:tc>
      </w:tr>
      <w:tr w:rsidR="00861572" w:rsidRPr="002B1075" w:rsidTr="005B27C3">
        <w:trPr>
          <w:trHeight w:val="1113"/>
        </w:trPr>
        <w:tc>
          <w:tcPr>
            <w:tcW w:w="992" w:type="dxa"/>
            <w:tcBorders>
              <w:left w:val="single" w:sz="4" w:space="0" w:color="auto"/>
              <w:right w:val="single" w:sz="4" w:space="0" w:color="auto"/>
            </w:tcBorders>
          </w:tcPr>
          <w:p w:rsidR="005B27C3" w:rsidRDefault="005B27C3" w:rsidP="00E419E2">
            <w:pPr>
              <w:spacing w:before="100" w:beforeAutospacing="1" w:after="100" w:afterAutospacing="1"/>
              <w:contextualSpacing/>
              <w:jc w:val="both"/>
              <w:rPr>
                <w:rFonts w:ascii="David" w:hAnsi="David"/>
                <w:sz w:val="24"/>
                <w:rtl/>
              </w:rPr>
            </w:pPr>
          </w:p>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 xml:space="preserve">נספח ב' למכרז – </w:t>
            </w:r>
            <w:r>
              <w:rPr>
                <w:rFonts w:ascii="David" w:hAnsi="David" w:hint="cs"/>
                <w:sz w:val="24"/>
                <w:rtl/>
              </w:rPr>
              <w:t xml:space="preserve">טופס </w:t>
            </w:r>
            <w:r w:rsidRPr="002B1075">
              <w:rPr>
                <w:rFonts w:ascii="David" w:hAnsi="David"/>
                <w:sz w:val="24"/>
                <w:rtl/>
              </w:rPr>
              <w:t>הצעת מחיר</w:t>
            </w:r>
          </w:p>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סעיפים:</w:t>
            </w:r>
          </w:p>
          <w:p w:rsidR="00861572"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8,6,13</w:t>
            </w:r>
          </w:p>
          <w:p w:rsidR="005B27C3" w:rsidRPr="002B1075" w:rsidRDefault="005B27C3"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jc w:val="both"/>
              <w:rPr>
                <w:rFonts w:ascii="David" w:hAnsi="David"/>
                <w:sz w:val="24"/>
                <w:rtl/>
              </w:rPr>
            </w:pPr>
          </w:p>
          <w:p w:rsidR="00861572" w:rsidRPr="002B1075" w:rsidRDefault="00861572" w:rsidP="00E419E2">
            <w:pPr>
              <w:jc w:val="both"/>
              <w:rPr>
                <w:rFonts w:ascii="David" w:hAnsi="David"/>
                <w:sz w:val="24"/>
                <w:rtl/>
              </w:rPr>
            </w:pPr>
            <w:r w:rsidRPr="002B1075">
              <w:rPr>
                <w:rFonts w:ascii="David" w:hAnsi="David"/>
                <w:sz w:val="24"/>
                <w:rtl/>
              </w:rPr>
              <w:t>מה סוג הקיפול?</w:t>
            </w:r>
          </w:p>
        </w:tc>
        <w:tc>
          <w:tcPr>
            <w:tcW w:w="4395" w:type="dxa"/>
            <w:tcBorders>
              <w:left w:val="single" w:sz="4" w:space="0" w:color="auto"/>
              <w:right w:val="single" w:sz="4" w:space="0" w:color="auto"/>
            </w:tcBorders>
          </w:tcPr>
          <w:p w:rsidR="00861572" w:rsidRPr="00861572" w:rsidRDefault="00861572" w:rsidP="00E419E2">
            <w:pPr>
              <w:jc w:val="both"/>
              <w:rPr>
                <w:rFonts w:ascii="David" w:hAnsi="David"/>
                <w:b/>
                <w:bCs/>
                <w:sz w:val="24"/>
                <w:rtl/>
              </w:rPr>
            </w:pPr>
          </w:p>
          <w:p w:rsidR="00861572" w:rsidRDefault="00861572" w:rsidP="00E419E2">
            <w:pPr>
              <w:jc w:val="both"/>
              <w:rPr>
                <w:rFonts w:ascii="David" w:hAnsi="David"/>
                <w:b/>
                <w:bCs/>
                <w:sz w:val="24"/>
                <w:rtl/>
              </w:rPr>
            </w:pPr>
            <w:r>
              <w:rPr>
                <w:rFonts w:ascii="David" w:hAnsi="David" w:hint="cs"/>
                <w:b/>
                <w:bCs/>
                <w:sz w:val="24"/>
                <w:rtl/>
              </w:rPr>
              <w:t>ב</w:t>
            </w:r>
            <w:r w:rsidRPr="00861572">
              <w:rPr>
                <w:rFonts w:ascii="David" w:hAnsi="David" w:hint="cs"/>
                <w:b/>
                <w:bCs/>
                <w:sz w:val="24"/>
                <w:rtl/>
              </w:rPr>
              <w:t>סעיפים 6, 8, ו-13</w:t>
            </w:r>
            <w:r>
              <w:rPr>
                <w:rFonts w:ascii="David" w:hAnsi="David" w:hint="cs"/>
                <w:b/>
                <w:bCs/>
                <w:sz w:val="24"/>
                <w:rtl/>
              </w:rPr>
              <w:t xml:space="preserve"> יש לתמחר:</w:t>
            </w:r>
          </w:p>
          <w:p w:rsidR="00861572" w:rsidRDefault="00861572" w:rsidP="00E419E2">
            <w:pPr>
              <w:jc w:val="both"/>
              <w:rPr>
                <w:rFonts w:ascii="David" w:hAnsi="David"/>
                <w:b/>
                <w:bCs/>
                <w:sz w:val="24"/>
                <w:rtl/>
              </w:rPr>
            </w:pPr>
          </w:p>
          <w:p w:rsidR="00861572" w:rsidRPr="00861572" w:rsidRDefault="00861572" w:rsidP="00E419E2">
            <w:pPr>
              <w:jc w:val="both"/>
              <w:rPr>
                <w:rFonts w:ascii="David" w:hAnsi="David"/>
                <w:b/>
                <w:bCs/>
                <w:sz w:val="24"/>
              </w:rPr>
            </w:pPr>
            <w:r w:rsidRPr="00861572">
              <w:rPr>
                <w:rFonts w:ascii="David" w:hAnsi="David"/>
                <w:b/>
                <w:bCs/>
                <w:sz w:val="24"/>
                <w:rtl/>
              </w:rPr>
              <w:t>נייר 135 גר</w:t>
            </w:r>
            <w:r w:rsidRPr="00861572">
              <w:rPr>
                <w:rFonts w:ascii="David" w:hAnsi="David" w:hint="cs"/>
                <w:b/>
                <w:bCs/>
                <w:sz w:val="24"/>
                <w:rtl/>
              </w:rPr>
              <w:t xml:space="preserve">', </w:t>
            </w:r>
            <w:r w:rsidRPr="00861572">
              <w:rPr>
                <w:rFonts w:ascii="David" w:hAnsi="David"/>
                <w:b/>
                <w:bCs/>
                <w:sz w:val="24"/>
                <w:rtl/>
              </w:rPr>
              <w:t>170 גרם</w:t>
            </w:r>
            <w:r w:rsidRPr="00861572">
              <w:rPr>
                <w:rFonts w:ascii="David" w:hAnsi="David" w:hint="cs"/>
                <w:b/>
                <w:bCs/>
                <w:sz w:val="24"/>
                <w:rtl/>
              </w:rPr>
              <w:t>,</w:t>
            </w:r>
            <w:r w:rsidRPr="00861572">
              <w:rPr>
                <w:rFonts w:ascii="David" w:hAnsi="David"/>
                <w:b/>
                <w:bCs/>
                <w:sz w:val="24"/>
                <w:rtl/>
              </w:rPr>
              <w:t xml:space="preserve"> קיפול רגיל</w:t>
            </w:r>
            <w:r w:rsidRPr="00861572">
              <w:rPr>
                <w:rFonts w:ascii="David" w:hAnsi="David" w:hint="cs"/>
                <w:b/>
                <w:bCs/>
                <w:sz w:val="24"/>
                <w:rtl/>
              </w:rPr>
              <w:t>.</w:t>
            </w:r>
          </w:p>
          <w:p w:rsidR="00861572" w:rsidRPr="00861572" w:rsidRDefault="00861572" w:rsidP="00E419E2">
            <w:pPr>
              <w:jc w:val="both"/>
              <w:rPr>
                <w:rFonts w:ascii="David" w:hAnsi="David"/>
                <w:b/>
                <w:bCs/>
                <w:sz w:val="24"/>
                <w:rtl/>
              </w:rPr>
            </w:pPr>
          </w:p>
        </w:tc>
      </w:tr>
      <w:tr w:rsidR="00861572" w:rsidRPr="002B1075" w:rsidTr="005B27C3">
        <w:trPr>
          <w:trHeight w:val="1113"/>
        </w:trPr>
        <w:tc>
          <w:tcPr>
            <w:tcW w:w="992" w:type="dxa"/>
            <w:tcBorders>
              <w:left w:val="single" w:sz="4" w:space="0" w:color="auto"/>
              <w:right w:val="single" w:sz="4" w:space="0" w:color="auto"/>
            </w:tcBorders>
          </w:tcPr>
          <w:p w:rsidR="00861572" w:rsidRDefault="00861572" w:rsidP="00E419E2">
            <w:pPr>
              <w:spacing w:before="100" w:beforeAutospacing="1" w:after="100" w:afterAutospacing="1"/>
              <w:contextualSpacing/>
              <w:jc w:val="both"/>
              <w:rPr>
                <w:rFonts w:ascii="David" w:hAnsi="David"/>
                <w:sz w:val="24"/>
                <w:rtl/>
              </w:rPr>
            </w:pPr>
          </w:p>
          <w:p w:rsidR="005B27C3" w:rsidRPr="002B1075" w:rsidRDefault="005B27C3" w:rsidP="00E419E2">
            <w:pPr>
              <w:spacing w:before="100" w:beforeAutospacing="1" w:after="100" w:afterAutospacing="1"/>
              <w:contextualSpacing/>
              <w:jc w:val="both"/>
              <w:rPr>
                <w:rFonts w:ascii="David" w:hAnsi="David"/>
                <w:sz w:val="24"/>
                <w:rtl/>
              </w:rPr>
            </w:pPr>
          </w:p>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t xml:space="preserve">נספח ב' למכרז – </w:t>
            </w:r>
            <w:r>
              <w:rPr>
                <w:rFonts w:ascii="David" w:hAnsi="David" w:hint="cs"/>
                <w:sz w:val="24"/>
                <w:rtl/>
              </w:rPr>
              <w:t xml:space="preserve">טופס </w:t>
            </w:r>
            <w:r w:rsidRPr="002B1075">
              <w:rPr>
                <w:rFonts w:ascii="David" w:hAnsi="David"/>
                <w:sz w:val="24"/>
                <w:rtl/>
              </w:rPr>
              <w:t xml:space="preserve">הצעת מחיר סעיף 14 </w:t>
            </w:r>
          </w:p>
        </w:tc>
        <w:tc>
          <w:tcPr>
            <w:tcW w:w="4252" w:type="dxa"/>
            <w:tcBorders>
              <w:top w:val="single" w:sz="4" w:space="0" w:color="auto"/>
              <w:left w:val="single" w:sz="4" w:space="0" w:color="auto"/>
              <w:bottom w:val="single" w:sz="4" w:space="0" w:color="auto"/>
              <w:right w:val="single" w:sz="4" w:space="0" w:color="auto"/>
            </w:tcBorders>
          </w:tcPr>
          <w:p w:rsidR="00861572" w:rsidRDefault="00861572" w:rsidP="00E419E2">
            <w:pPr>
              <w:jc w:val="both"/>
              <w:rPr>
                <w:rFonts w:ascii="David" w:hAnsi="David"/>
                <w:sz w:val="24"/>
                <w:rtl/>
              </w:rPr>
            </w:pPr>
          </w:p>
          <w:p w:rsidR="005B27C3" w:rsidRPr="002B1075" w:rsidRDefault="005B27C3" w:rsidP="00E419E2">
            <w:pPr>
              <w:jc w:val="both"/>
              <w:rPr>
                <w:rFonts w:ascii="David" w:hAnsi="David"/>
                <w:sz w:val="24"/>
                <w:rtl/>
              </w:rPr>
            </w:pPr>
          </w:p>
          <w:p w:rsidR="00861572" w:rsidRPr="002B1075" w:rsidRDefault="00861572" w:rsidP="00E419E2">
            <w:pPr>
              <w:jc w:val="both"/>
              <w:rPr>
                <w:rFonts w:ascii="David" w:hAnsi="David"/>
                <w:sz w:val="24"/>
              </w:rPr>
            </w:pPr>
            <w:r w:rsidRPr="002B1075">
              <w:rPr>
                <w:rFonts w:ascii="David" w:hAnsi="David"/>
                <w:sz w:val="24"/>
                <w:rtl/>
              </w:rPr>
              <w:t>בסעיף מס' 14 בטופס הצעת המחיר ישנו מפרט עבור הדפסת פולדרים.</w:t>
            </w:r>
          </w:p>
          <w:p w:rsidR="00861572" w:rsidRPr="002B1075" w:rsidRDefault="00861572" w:rsidP="00E419E2">
            <w:pPr>
              <w:jc w:val="both"/>
              <w:rPr>
                <w:rFonts w:ascii="David" w:hAnsi="David"/>
                <w:color w:val="000000"/>
                <w:sz w:val="24"/>
                <w:rtl/>
              </w:rPr>
            </w:pPr>
            <w:r w:rsidRPr="002B1075">
              <w:rPr>
                <w:rFonts w:ascii="David" w:hAnsi="David"/>
                <w:sz w:val="24"/>
                <w:rtl/>
              </w:rPr>
              <w:t>ברצוני לדעת האם שני הכיסים הם כיסים שטוחים או עם גובה מסוים.</w:t>
            </w:r>
          </w:p>
          <w:p w:rsidR="00861572" w:rsidRPr="002B1075" w:rsidRDefault="00861572" w:rsidP="00E419E2">
            <w:pPr>
              <w:jc w:val="both"/>
              <w:rPr>
                <w:rFonts w:ascii="David" w:hAnsi="David"/>
                <w:sz w:val="24"/>
                <w:rtl/>
              </w:rPr>
            </w:pPr>
          </w:p>
        </w:tc>
        <w:tc>
          <w:tcPr>
            <w:tcW w:w="4395" w:type="dxa"/>
            <w:tcBorders>
              <w:left w:val="single" w:sz="4" w:space="0" w:color="auto"/>
              <w:right w:val="single" w:sz="4" w:space="0" w:color="auto"/>
            </w:tcBorders>
          </w:tcPr>
          <w:p w:rsidR="00861572" w:rsidRDefault="00861572" w:rsidP="00E419E2">
            <w:pPr>
              <w:jc w:val="both"/>
              <w:rPr>
                <w:rFonts w:ascii="David" w:hAnsi="David"/>
                <w:b/>
                <w:bCs/>
                <w:sz w:val="24"/>
                <w:rtl/>
              </w:rPr>
            </w:pPr>
          </w:p>
          <w:p w:rsidR="005B27C3" w:rsidRPr="002B1075" w:rsidRDefault="005B27C3" w:rsidP="00E419E2">
            <w:pPr>
              <w:jc w:val="both"/>
              <w:rPr>
                <w:rFonts w:ascii="David" w:hAnsi="David"/>
                <w:b/>
                <w:bCs/>
                <w:sz w:val="24"/>
                <w:rtl/>
              </w:rPr>
            </w:pPr>
          </w:p>
          <w:p w:rsidR="00861572" w:rsidRPr="002B1075" w:rsidRDefault="00861572" w:rsidP="00E419E2">
            <w:pPr>
              <w:jc w:val="both"/>
              <w:rPr>
                <w:rFonts w:ascii="David" w:hAnsi="David"/>
                <w:b/>
                <w:bCs/>
                <w:sz w:val="24"/>
                <w:rtl/>
              </w:rPr>
            </w:pPr>
            <w:r w:rsidRPr="002B1075">
              <w:rPr>
                <w:rFonts w:ascii="David" w:hAnsi="David"/>
                <w:b/>
                <w:bCs/>
                <w:sz w:val="24"/>
                <w:rtl/>
              </w:rPr>
              <w:t>סעיף 14 לטופס הצעת המחיר מתייחס לכיסים ללא שדרה, קרי, כיסים שטוחים.</w:t>
            </w:r>
          </w:p>
          <w:p w:rsidR="00861572" w:rsidRPr="002B1075" w:rsidRDefault="00861572" w:rsidP="00E419E2">
            <w:pPr>
              <w:jc w:val="both"/>
              <w:rPr>
                <w:rFonts w:ascii="David" w:hAnsi="David"/>
                <w:b/>
                <w:bCs/>
                <w:sz w:val="24"/>
                <w:rtl/>
              </w:rPr>
            </w:pPr>
          </w:p>
          <w:p w:rsidR="00861572" w:rsidRDefault="00861572" w:rsidP="00E419E2">
            <w:pPr>
              <w:jc w:val="both"/>
              <w:rPr>
                <w:rFonts w:ascii="David" w:hAnsi="David"/>
                <w:b/>
                <w:bCs/>
                <w:sz w:val="24"/>
                <w:rtl/>
              </w:rPr>
            </w:pPr>
            <w:r w:rsidRPr="002B1075">
              <w:rPr>
                <w:rFonts w:ascii="David" w:hAnsi="David"/>
                <w:b/>
                <w:bCs/>
                <w:sz w:val="24"/>
                <w:rtl/>
              </w:rPr>
              <w:t>מובהר, כי ככל ותיאור הפריט בטופס הצעת המחיר אינו מציין אחרת, הכוונה היא לכיסים שטוחים.</w:t>
            </w: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p w:rsidR="005B27C3" w:rsidRPr="002B1075" w:rsidRDefault="005B27C3" w:rsidP="00E419E2">
            <w:pPr>
              <w:jc w:val="both"/>
              <w:rPr>
                <w:rFonts w:ascii="David" w:hAnsi="David"/>
                <w:sz w:val="24"/>
                <w:rtl/>
              </w:rPr>
            </w:pPr>
          </w:p>
        </w:tc>
      </w:tr>
      <w:tr w:rsidR="00861572" w:rsidRPr="002B1075" w:rsidTr="005B27C3">
        <w:trPr>
          <w:trHeight w:val="870"/>
        </w:trPr>
        <w:tc>
          <w:tcPr>
            <w:tcW w:w="992" w:type="dxa"/>
            <w:vMerge w:val="restart"/>
            <w:tcBorders>
              <w:left w:val="single" w:sz="4" w:space="0" w:color="auto"/>
              <w:right w:val="single" w:sz="4" w:space="0" w:color="auto"/>
            </w:tcBorders>
            <w:vAlign w:val="center"/>
          </w:tcPr>
          <w:p w:rsidR="00861572" w:rsidRPr="002B1075" w:rsidRDefault="00861572" w:rsidP="00E419E2">
            <w:pPr>
              <w:spacing w:before="100" w:beforeAutospacing="1" w:after="100" w:afterAutospacing="1"/>
              <w:contextualSpacing/>
              <w:jc w:val="both"/>
              <w:rPr>
                <w:rFonts w:ascii="David" w:hAnsi="David"/>
                <w:sz w:val="24"/>
                <w:rtl/>
              </w:rPr>
            </w:pPr>
            <w:r w:rsidRPr="002B1075">
              <w:rPr>
                <w:rFonts w:ascii="David" w:hAnsi="David"/>
                <w:sz w:val="24"/>
                <w:rtl/>
              </w:rPr>
              <w:lastRenderedPageBreak/>
              <w:t xml:space="preserve">נספח ב' למכרז – </w:t>
            </w:r>
            <w:r>
              <w:rPr>
                <w:rFonts w:ascii="David" w:hAnsi="David" w:hint="cs"/>
                <w:sz w:val="24"/>
                <w:rtl/>
              </w:rPr>
              <w:t xml:space="preserve">טופס </w:t>
            </w:r>
            <w:r w:rsidRPr="002B1075">
              <w:rPr>
                <w:rFonts w:ascii="David" w:hAnsi="David"/>
                <w:sz w:val="24"/>
                <w:rtl/>
              </w:rPr>
              <w:t>הצעת מחיר סעיף 15</w:t>
            </w: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jc w:val="both"/>
              <w:rPr>
                <w:rFonts w:ascii="David" w:hAnsi="David"/>
                <w:sz w:val="24"/>
                <w:rtl/>
              </w:rPr>
            </w:pPr>
          </w:p>
          <w:p w:rsidR="00861572" w:rsidRDefault="00861572" w:rsidP="00E419E2">
            <w:pPr>
              <w:jc w:val="both"/>
              <w:rPr>
                <w:rFonts w:ascii="David" w:hAnsi="David"/>
                <w:sz w:val="24"/>
                <w:rtl/>
              </w:rPr>
            </w:pPr>
            <w:r w:rsidRPr="002B1075">
              <w:rPr>
                <w:rFonts w:ascii="David" w:hAnsi="David"/>
                <w:sz w:val="24"/>
                <w:rtl/>
              </w:rPr>
              <w:t>האם מדובר ב 180 עמודים דו צדדי או ב 90 דף צד 1?</w:t>
            </w:r>
          </w:p>
          <w:p w:rsidR="00861572" w:rsidRPr="002B1075" w:rsidRDefault="00861572" w:rsidP="00E419E2">
            <w:pPr>
              <w:spacing w:before="100" w:beforeAutospacing="1" w:after="100" w:afterAutospacing="1"/>
              <w:contextualSpacing/>
              <w:jc w:val="both"/>
              <w:rPr>
                <w:rFonts w:ascii="David" w:hAnsi="David"/>
                <w:sz w:val="24"/>
                <w:rtl/>
              </w:rPr>
            </w:pPr>
          </w:p>
        </w:tc>
        <w:tc>
          <w:tcPr>
            <w:tcW w:w="4395" w:type="dxa"/>
            <w:tcBorders>
              <w:left w:val="single" w:sz="4" w:space="0" w:color="auto"/>
              <w:right w:val="single" w:sz="4" w:space="0" w:color="auto"/>
            </w:tcBorders>
          </w:tcPr>
          <w:p w:rsidR="005B27C3" w:rsidRDefault="005B27C3" w:rsidP="00E419E2">
            <w:pPr>
              <w:jc w:val="both"/>
              <w:rPr>
                <w:rFonts w:ascii="David" w:hAnsi="David"/>
                <w:b/>
                <w:bCs/>
                <w:sz w:val="24"/>
                <w:rtl/>
              </w:rPr>
            </w:pPr>
          </w:p>
          <w:p w:rsidR="00ED19E2" w:rsidRDefault="00ED19E2" w:rsidP="00E419E2">
            <w:pPr>
              <w:jc w:val="both"/>
              <w:rPr>
                <w:rFonts w:ascii="David" w:hAnsi="David"/>
                <w:b/>
                <w:bCs/>
                <w:sz w:val="24"/>
                <w:rtl/>
              </w:rPr>
            </w:pPr>
            <w:r w:rsidRPr="00ED19E2">
              <w:rPr>
                <w:rFonts w:ascii="David" w:hAnsi="David" w:hint="cs"/>
                <w:b/>
                <w:bCs/>
                <w:sz w:val="24"/>
                <w:rtl/>
              </w:rPr>
              <w:t>סעיף 15 עניינו בהצעת מחיר ל-90 דפי פנים, קרי, 180 עמודים.</w:t>
            </w:r>
          </w:p>
          <w:p w:rsidR="005B27C3" w:rsidRDefault="005B27C3" w:rsidP="00E419E2">
            <w:pPr>
              <w:jc w:val="both"/>
              <w:rPr>
                <w:rFonts w:ascii="David" w:hAnsi="David"/>
                <w:b/>
                <w:bCs/>
                <w:sz w:val="24"/>
                <w:rtl/>
              </w:rPr>
            </w:pPr>
          </w:p>
          <w:p w:rsidR="00861572" w:rsidRPr="002B1075" w:rsidRDefault="00861572" w:rsidP="00E419E2">
            <w:pPr>
              <w:jc w:val="both"/>
              <w:rPr>
                <w:rFonts w:ascii="David" w:hAnsi="David"/>
                <w:b/>
                <w:bCs/>
                <w:sz w:val="24"/>
                <w:rtl/>
              </w:rPr>
            </w:pPr>
          </w:p>
        </w:tc>
      </w:tr>
      <w:tr w:rsidR="005B27C3" w:rsidRPr="002B1075" w:rsidTr="005B27C3">
        <w:trPr>
          <w:trHeight w:val="768"/>
        </w:trPr>
        <w:tc>
          <w:tcPr>
            <w:tcW w:w="992" w:type="dxa"/>
            <w:vMerge/>
            <w:tcBorders>
              <w:left w:val="single" w:sz="4" w:space="0" w:color="auto"/>
              <w:right w:val="single" w:sz="4" w:space="0" w:color="auto"/>
            </w:tcBorders>
            <w:vAlign w:val="center"/>
          </w:tcPr>
          <w:p w:rsidR="005B27C3" w:rsidRPr="002B1075" w:rsidRDefault="005B27C3"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jc w:val="both"/>
              <w:rPr>
                <w:rFonts w:ascii="David" w:hAnsi="David"/>
                <w:sz w:val="24"/>
                <w:rtl/>
              </w:rPr>
            </w:pPr>
          </w:p>
          <w:p w:rsidR="005B27C3" w:rsidRPr="002B1075" w:rsidRDefault="005B27C3" w:rsidP="00E419E2">
            <w:pPr>
              <w:jc w:val="both"/>
              <w:rPr>
                <w:rFonts w:ascii="David" w:hAnsi="David"/>
                <w:sz w:val="24"/>
                <w:rtl/>
              </w:rPr>
            </w:pPr>
            <w:r w:rsidRPr="002B1075">
              <w:rPr>
                <w:rFonts w:ascii="David" w:hAnsi="David"/>
                <w:sz w:val="24"/>
                <w:rtl/>
              </w:rPr>
              <w:t>האם כל העמודים זהים או שיש שוני בין כל עמוד?</w:t>
            </w:r>
          </w:p>
          <w:p w:rsidR="005B27C3" w:rsidRDefault="005B27C3" w:rsidP="00E419E2">
            <w:pPr>
              <w:spacing w:before="100" w:beforeAutospacing="1" w:after="100" w:afterAutospacing="1"/>
              <w:contextualSpacing/>
              <w:jc w:val="both"/>
              <w:rPr>
                <w:rFonts w:ascii="David" w:hAnsi="David"/>
                <w:sz w:val="24"/>
                <w:rtl/>
              </w:rPr>
            </w:pPr>
          </w:p>
        </w:tc>
        <w:tc>
          <w:tcPr>
            <w:tcW w:w="4395" w:type="dxa"/>
            <w:tcBorders>
              <w:left w:val="single" w:sz="4" w:space="0" w:color="auto"/>
              <w:right w:val="single" w:sz="4" w:space="0" w:color="auto"/>
            </w:tcBorders>
          </w:tcPr>
          <w:p w:rsidR="005B27C3" w:rsidRDefault="005B27C3" w:rsidP="00E419E2">
            <w:pPr>
              <w:jc w:val="both"/>
              <w:rPr>
                <w:rFonts w:ascii="David" w:hAnsi="David"/>
                <w:b/>
                <w:bCs/>
                <w:sz w:val="24"/>
                <w:rtl/>
              </w:rPr>
            </w:pPr>
          </w:p>
          <w:p w:rsidR="005B27C3" w:rsidRPr="00ED19E2" w:rsidRDefault="001A7F4E" w:rsidP="00E419E2">
            <w:pPr>
              <w:jc w:val="both"/>
              <w:rPr>
                <w:rFonts w:ascii="David" w:hAnsi="David"/>
                <w:b/>
                <w:bCs/>
                <w:sz w:val="24"/>
                <w:rtl/>
              </w:rPr>
            </w:pPr>
            <w:r>
              <w:rPr>
                <w:rFonts w:ascii="David" w:hAnsi="David" w:hint="cs"/>
                <w:b/>
                <w:bCs/>
                <w:sz w:val="24"/>
                <w:rtl/>
              </w:rPr>
              <w:t xml:space="preserve">בפריט זה נדרשת </w:t>
            </w:r>
            <w:r w:rsidR="005B27C3" w:rsidRPr="00ED19E2">
              <w:rPr>
                <w:rFonts w:ascii="David" w:hAnsi="David"/>
                <w:b/>
                <w:bCs/>
                <w:sz w:val="24"/>
                <w:rtl/>
              </w:rPr>
              <w:t>הד</w:t>
            </w:r>
            <w:r>
              <w:rPr>
                <w:rFonts w:ascii="David" w:hAnsi="David"/>
                <w:b/>
                <w:bCs/>
                <w:sz w:val="24"/>
                <w:rtl/>
              </w:rPr>
              <w:t>פסת פנים 2 צבעים דו-צדדית אחידה</w:t>
            </w:r>
            <w:r>
              <w:rPr>
                <w:rFonts w:ascii="David" w:hAnsi="David" w:hint="cs"/>
                <w:b/>
                <w:bCs/>
                <w:sz w:val="24"/>
                <w:rtl/>
              </w:rPr>
              <w:t xml:space="preserve"> ו</w:t>
            </w:r>
            <w:r w:rsidR="005B27C3" w:rsidRPr="00ED19E2">
              <w:rPr>
                <w:rFonts w:ascii="David" w:hAnsi="David"/>
                <w:b/>
                <w:bCs/>
                <w:sz w:val="24"/>
                <w:rtl/>
              </w:rPr>
              <w:t>אין שוני בין כל עמודי הפנים.</w:t>
            </w:r>
          </w:p>
          <w:p w:rsidR="005B27C3" w:rsidRDefault="005B27C3" w:rsidP="00E419E2">
            <w:pPr>
              <w:jc w:val="both"/>
              <w:rPr>
                <w:rFonts w:ascii="David" w:hAnsi="David"/>
                <w:b/>
                <w:bCs/>
                <w:sz w:val="24"/>
                <w:rtl/>
              </w:rPr>
            </w:pPr>
          </w:p>
          <w:p w:rsidR="005B27C3" w:rsidRDefault="005B27C3" w:rsidP="00E419E2">
            <w:pPr>
              <w:jc w:val="both"/>
              <w:rPr>
                <w:rFonts w:ascii="David" w:hAnsi="David"/>
                <w:b/>
                <w:bCs/>
                <w:sz w:val="24"/>
                <w:rtl/>
              </w:rPr>
            </w:pPr>
          </w:p>
        </w:tc>
      </w:tr>
      <w:tr w:rsidR="00861572" w:rsidRPr="002B1075" w:rsidTr="005B27C3">
        <w:trPr>
          <w:trHeight w:val="1113"/>
        </w:trPr>
        <w:tc>
          <w:tcPr>
            <w:tcW w:w="992" w:type="dxa"/>
            <w:vMerge/>
            <w:tcBorders>
              <w:left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jc w:val="both"/>
              <w:rPr>
                <w:rFonts w:ascii="David" w:hAnsi="David"/>
                <w:sz w:val="24"/>
                <w:rtl/>
              </w:rPr>
            </w:pPr>
          </w:p>
          <w:p w:rsidR="00861572" w:rsidRPr="002B1075" w:rsidRDefault="00861572" w:rsidP="00E419E2">
            <w:pPr>
              <w:jc w:val="both"/>
              <w:rPr>
                <w:rFonts w:ascii="David" w:hAnsi="David"/>
                <w:sz w:val="24"/>
                <w:rtl/>
              </w:rPr>
            </w:pPr>
            <w:r w:rsidRPr="002B1075">
              <w:rPr>
                <w:rFonts w:ascii="David" w:hAnsi="David"/>
                <w:sz w:val="24"/>
                <w:rtl/>
              </w:rPr>
              <w:t>האם הלמינציה היא רק בצד החיצוני של העטיפה דהיינו בחזית ובגב או בנוסף גם בצדדים הפנימיים של החזית והגב?</w:t>
            </w:r>
          </w:p>
        </w:tc>
        <w:tc>
          <w:tcPr>
            <w:tcW w:w="4395" w:type="dxa"/>
            <w:tcBorders>
              <w:left w:val="single" w:sz="4" w:space="0" w:color="auto"/>
              <w:right w:val="single" w:sz="4" w:space="0" w:color="auto"/>
            </w:tcBorders>
          </w:tcPr>
          <w:p w:rsidR="005B27C3" w:rsidRDefault="005B27C3" w:rsidP="00E419E2">
            <w:pPr>
              <w:jc w:val="both"/>
              <w:rPr>
                <w:rFonts w:ascii="David" w:hAnsi="David"/>
                <w:b/>
                <w:bCs/>
                <w:sz w:val="24"/>
                <w:rtl/>
              </w:rPr>
            </w:pPr>
          </w:p>
          <w:p w:rsidR="00861572" w:rsidRPr="002B1075" w:rsidRDefault="00FC0EBF" w:rsidP="00E419E2">
            <w:pPr>
              <w:jc w:val="both"/>
              <w:rPr>
                <w:rFonts w:ascii="David" w:hAnsi="David"/>
                <w:b/>
                <w:bCs/>
                <w:sz w:val="24"/>
                <w:rtl/>
              </w:rPr>
            </w:pPr>
            <w:r>
              <w:rPr>
                <w:rFonts w:ascii="David" w:hAnsi="David" w:hint="cs"/>
                <w:b/>
                <w:bCs/>
                <w:sz w:val="24"/>
                <w:rtl/>
              </w:rPr>
              <w:t>הדרישה הינה ל</w:t>
            </w:r>
            <w:r w:rsidR="00ED19E2" w:rsidRPr="00ED19E2">
              <w:rPr>
                <w:rFonts w:ascii="David" w:hAnsi="David"/>
                <w:b/>
                <w:bCs/>
                <w:sz w:val="24"/>
                <w:rtl/>
              </w:rPr>
              <w:t>למינציה מבריקה דו צדדית בכריכה (חזית וגב למינציה דו-צדדית)</w:t>
            </w:r>
            <w:r w:rsidR="00ED19E2">
              <w:rPr>
                <w:rFonts w:ascii="David" w:hAnsi="David" w:hint="cs"/>
                <w:b/>
                <w:bCs/>
                <w:sz w:val="24"/>
                <w:rtl/>
              </w:rPr>
              <w:t>.</w:t>
            </w:r>
          </w:p>
        </w:tc>
      </w:tr>
      <w:tr w:rsidR="00861572" w:rsidRPr="002B1075" w:rsidTr="005B27C3">
        <w:trPr>
          <w:trHeight w:val="1113"/>
        </w:trPr>
        <w:tc>
          <w:tcPr>
            <w:tcW w:w="992" w:type="dxa"/>
            <w:vMerge/>
            <w:tcBorders>
              <w:left w:val="single" w:sz="4" w:space="0" w:color="auto"/>
              <w:right w:val="single" w:sz="4" w:space="0" w:color="auto"/>
            </w:tcBorders>
          </w:tcPr>
          <w:p w:rsidR="00861572" w:rsidRPr="002B1075" w:rsidRDefault="00861572" w:rsidP="00E419E2">
            <w:pPr>
              <w:spacing w:before="100" w:beforeAutospacing="1" w:after="100" w:afterAutospacing="1"/>
              <w:contextualSpacing/>
              <w:jc w:val="both"/>
              <w:rPr>
                <w:rFonts w:ascii="David" w:hAnsi="David"/>
                <w:sz w:val="24"/>
                <w:rtl/>
              </w:rPr>
            </w:pPr>
          </w:p>
        </w:tc>
        <w:tc>
          <w:tcPr>
            <w:tcW w:w="4252" w:type="dxa"/>
            <w:tcBorders>
              <w:top w:val="single" w:sz="4" w:space="0" w:color="auto"/>
              <w:left w:val="single" w:sz="4" w:space="0" w:color="auto"/>
              <w:bottom w:val="single" w:sz="4" w:space="0" w:color="auto"/>
              <w:right w:val="single" w:sz="4" w:space="0" w:color="auto"/>
            </w:tcBorders>
          </w:tcPr>
          <w:p w:rsidR="005B27C3" w:rsidRDefault="005B27C3" w:rsidP="00E419E2">
            <w:pPr>
              <w:jc w:val="both"/>
              <w:rPr>
                <w:rFonts w:ascii="David" w:hAnsi="David"/>
                <w:sz w:val="24"/>
                <w:rtl/>
              </w:rPr>
            </w:pPr>
          </w:p>
          <w:p w:rsidR="00861572" w:rsidRPr="002B1075" w:rsidRDefault="00861572" w:rsidP="00E419E2">
            <w:pPr>
              <w:jc w:val="both"/>
              <w:rPr>
                <w:rFonts w:ascii="David" w:hAnsi="David"/>
                <w:sz w:val="24"/>
                <w:rtl/>
              </w:rPr>
            </w:pPr>
            <w:r w:rsidRPr="002B1075">
              <w:rPr>
                <w:rFonts w:ascii="David" w:hAnsi="David"/>
                <w:sz w:val="24"/>
                <w:rtl/>
              </w:rPr>
              <w:t xml:space="preserve">האם שני הצבעים בפנים הם </w:t>
            </w:r>
            <w:proofErr w:type="spellStart"/>
            <w:r w:rsidRPr="002B1075">
              <w:rPr>
                <w:rFonts w:ascii="David" w:hAnsi="David"/>
                <w:sz w:val="24"/>
                <w:rtl/>
              </w:rPr>
              <w:t>פנטון</w:t>
            </w:r>
            <w:proofErr w:type="spellEnd"/>
            <w:r w:rsidRPr="002B1075">
              <w:rPr>
                <w:rFonts w:ascii="David" w:hAnsi="David"/>
                <w:sz w:val="24"/>
                <w:rtl/>
              </w:rPr>
              <w:t xml:space="preserve"> או פרוצס?</w:t>
            </w:r>
          </w:p>
        </w:tc>
        <w:tc>
          <w:tcPr>
            <w:tcW w:w="4395" w:type="dxa"/>
            <w:tcBorders>
              <w:left w:val="single" w:sz="4" w:space="0" w:color="auto"/>
              <w:right w:val="single" w:sz="4" w:space="0" w:color="auto"/>
            </w:tcBorders>
          </w:tcPr>
          <w:p w:rsidR="005B27C3" w:rsidRDefault="005B27C3" w:rsidP="00E419E2">
            <w:pPr>
              <w:jc w:val="both"/>
              <w:rPr>
                <w:rFonts w:ascii="David" w:hAnsi="David"/>
                <w:b/>
                <w:bCs/>
                <w:sz w:val="24"/>
                <w:rtl/>
              </w:rPr>
            </w:pPr>
          </w:p>
          <w:p w:rsidR="00861572" w:rsidRPr="002B1075" w:rsidRDefault="00861572" w:rsidP="00E419E2">
            <w:pPr>
              <w:jc w:val="both"/>
              <w:rPr>
                <w:rFonts w:ascii="David" w:hAnsi="David"/>
                <w:b/>
                <w:bCs/>
                <w:sz w:val="24"/>
                <w:rtl/>
              </w:rPr>
            </w:pPr>
            <w:r>
              <w:rPr>
                <w:rFonts w:ascii="David" w:hAnsi="David" w:hint="cs"/>
                <w:b/>
                <w:bCs/>
                <w:sz w:val="24"/>
                <w:rtl/>
              </w:rPr>
              <w:t>ה</w:t>
            </w:r>
            <w:r w:rsidR="00FC0EBF">
              <w:rPr>
                <w:rFonts w:ascii="David" w:hAnsi="David" w:hint="cs"/>
                <w:b/>
                <w:bCs/>
                <w:sz w:val="24"/>
                <w:rtl/>
              </w:rPr>
              <w:t xml:space="preserve">דרישה </w:t>
            </w:r>
            <w:r>
              <w:rPr>
                <w:rFonts w:ascii="David" w:hAnsi="David" w:hint="cs"/>
                <w:b/>
                <w:bCs/>
                <w:sz w:val="24"/>
                <w:rtl/>
              </w:rPr>
              <w:t>מתייחס</w:t>
            </w:r>
            <w:r w:rsidR="00FC0EBF">
              <w:rPr>
                <w:rFonts w:ascii="David" w:hAnsi="David" w:hint="cs"/>
                <w:b/>
                <w:bCs/>
                <w:sz w:val="24"/>
                <w:rtl/>
              </w:rPr>
              <w:t>ת</w:t>
            </w:r>
            <w:r>
              <w:rPr>
                <w:rFonts w:ascii="David" w:hAnsi="David" w:hint="cs"/>
                <w:b/>
                <w:bCs/>
                <w:sz w:val="24"/>
                <w:rtl/>
              </w:rPr>
              <w:t xml:space="preserve"> לשני צבעי </w:t>
            </w:r>
            <w:proofErr w:type="spellStart"/>
            <w:r>
              <w:rPr>
                <w:rFonts w:ascii="David" w:hAnsi="David" w:hint="cs"/>
                <w:b/>
                <w:bCs/>
                <w:sz w:val="24"/>
                <w:rtl/>
              </w:rPr>
              <w:t>פנטון</w:t>
            </w:r>
            <w:proofErr w:type="spellEnd"/>
            <w:r>
              <w:rPr>
                <w:rFonts w:ascii="David" w:hAnsi="David" w:hint="cs"/>
                <w:b/>
                <w:bCs/>
                <w:sz w:val="24"/>
                <w:rtl/>
              </w:rPr>
              <w:t xml:space="preserve"> </w:t>
            </w:r>
            <w:r w:rsidRPr="00861572">
              <w:rPr>
                <w:rFonts w:ascii="David" w:hAnsi="David" w:hint="cs"/>
                <w:b/>
                <w:bCs/>
                <w:sz w:val="24"/>
                <w:u w:val="single"/>
                <w:rtl/>
              </w:rPr>
              <w:t>או</w:t>
            </w:r>
            <w:r>
              <w:rPr>
                <w:rFonts w:ascii="David" w:hAnsi="David" w:hint="cs"/>
                <w:b/>
                <w:bCs/>
                <w:sz w:val="24"/>
                <w:rtl/>
              </w:rPr>
              <w:t xml:space="preserve"> שני צבעי פרוצס. </w:t>
            </w:r>
          </w:p>
        </w:tc>
      </w:tr>
    </w:tbl>
    <w:p w:rsidR="00E9224B" w:rsidRPr="002B1075" w:rsidRDefault="00E9224B" w:rsidP="00E419E2">
      <w:pPr>
        <w:ind w:left="6480" w:firstLine="720"/>
        <w:jc w:val="both"/>
        <w:rPr>
          <w:rFonts w:ascii="David" w:hAnsi="David"/>
          <w:sz w:val="24"/>
          <w:rtl/>
        </w:rPr>
      </w:pPr>
    </w:p>
    <w:p w:rsidR="00E9224B" w:rsidRPr="002B1075" w:rsidRDefault="00E9224B" w:rsidP="005B26E5">
      <w:pPr>
        <w:ind w:left="6480" w:firstLine="720"/>
        <w:jc w:val="both"/>
        <w:rPr>
          <w:rFonts w:ascii="David" w:hAnsi="David"/>
          <w:sz w:val="24"/>
          <w:rtl/>
        </w:rPr>
      </w:pPr>
    </w:p>
    <w:p w:rsidR="00E419E2" w:rsidRDefault="005B26E5" w:rsidP="00B55C4C">
      <w:pPr>
        <w:ind w:left="7200"/>
        <w:jc w:val="both"/>
        <w:rPr>
          <w:rFonts w:ascii="David" w:hAnsi="David"/>
          <w:sz w:val="24"/>
          <w:rtl/>
        </w:rPr>
      </w:pPr>
      <w:r w:rsidRPr="002B1075">
        <w:rPr>
          <w:rFonts w:ascii="David" w:hAnsi="David"/>
          <w:sz w:val="24"/>
          <w:rtl/>
        </w:rPr>
        <w:t>בברכה,</w:t>
      </w:r>
    </w:p>
    <w:p w:rsidR="00E419E2" w:rsidRDefault="00E419E2" w:rsidP="00B55C4C">
      <w:pPr>
        <w:ind w:left="7200"/>
        <w:jc w:val="both"/>
        <w:rPr>
          <w:rFonts w:ascii="David" w:hAnsi="David"/>
          <w:sz w:val="24"/>
          <w:rtl/>
        </w:rPr>
      </w:pPr>
    </w:p>
    <w:p w:rsidR="005B26E5" w:rsidRPr="002B1075" w:rsidRDefault="005B26E5" w:rsidP="00B55C4C">
      <w:pPr>
        <w:ind w:left="7200"/>
        <w:jc w:val="both"/>
        <w:rPr>
          <w:rFonts w:ascii="David" w:hAnsi="David"/>
          <w:sz w:val="24"/>
          <w:rtl/>
        </w:rPr>
      </w:pPr>
      <w:r w:rsidRPr="002B1075">
        <w:rPr>
          <w:rFonts w:ascii="David" w:hAnsi="David"/>
          <w:sz w:val="24"/>
          <w:rtl/>
        </w:rPr>
        <w:t>ועדת המכרזים</w:t>
      </w:r>
    </w:p>
    <w:bookmarkEnd w:id="0"/>
    <w:p w:rsidR="005B26E5" w:rsidRPr="002B1075" w:rsidRDefault="005B26E5" w:rsidP="005B26E5">
      <w:pPr>
        <w:rPr>
          <w:rFonts w:ascii="David" w:hAnsi="David"/>
          <w:sz w:val="24"/>
          <w:rtl/>
        </w:rPr>
      </w:pPr>
    </w:p>
    <w:sectPr w:rsidR="005B26E5" w:rsidRPr="002B1075" w:rsidSect="00747091">
      <w:headerReference w:type="default" r:id="rId9"/>
      <w:footerReference w:type="default" r:id="rId10"/>
      <w:endnotePr>
        <w:numFmt w:val="lowerLetter"/>
      </w:endnotePr>
      <w:pgSz w:w="11907" w:h="16840"/>
      <w:pgMar w:top="1560" w:right="720" w:bottom="720" w:left="720" w:header="720" w:footer="187" w:gutter="0"/>
      <w:cols w:space="720"/>
      <w:bidi/>
      <w:rtlGutter/>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71" w:rsidRDefault="00771271">
      <w:r>
        <w:separator/>
      </w:r>
    </w:p>
  </w:endnote>
  <w:endnote w:type="continuationSeparator" w:id="0">
    <w:p w:rsidR="00771271" w:rsidRDefault="0077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699" w:rsidRDefault="00E30699" w:rsidP="00E30699">
    <w:pPr>
      <w:pStyle w:val="a8"/>
    </w:pPr>
    <w:r>
      <w:rPr>
        <w:noProof/>
        <w:lang w:eastAsia="en-US"/>
      </w:rPr>
      <w:drawing>
        <wp:inline distT="0" distB="0" distL="0" distR="0" wp14:anchorId="3E1FD228" wp14:editId="65CE0DD7">
          <wp:extent cx="6502400" cy="495300"/>
          <wp:effectExtent l="0" t="0" r="0" b="0"/>
          <wp:docPr id="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495300"/>
                  </a:xfrm>
                  <a:prstGeom prst="rect">
                    <a:avLst/>
                  </a:prstGeom>
                  <a:noFill/>
                  <a:ln>
                    <a:noFill/>
                  </a:ln>
                </pic:spPr>
              </pic:pic>
            </a:graphicData>
          </a:graphic>
        </wp:inline>
      </w:drawing>
    </w:r>
  </w:p>
  <w:p w:rsidR="00E30699" w:rsidRDefault="00E306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71" w:rsidRDefault="00771271">
      <w:r>
        <w:separator/>
      </w:r>
    </w:p>
  </w:footnote>
  <w:footnote w:type="continuationSeparator" w:id="0">
    <w:p w:rsidR="00771271" w:rsidRDefault="00771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F5" w:rsidRDefault="00DC2CB8" w:rsidP="00DC2CB8">
    <w:pPr>
      <w:pStyle w:val="a6"/>
      <w:rPr>
        <w:noProof/>
        <w:rtl/>
        <w:lang w:eastAsia="en-US"/>
      </w:rPr>
    </w:pPr>
    <w:r>
      <w:rPr>
        <w:rFonts w:hint="cs"/>
        <w:noProof/>
        <w:lang w:eastAsia="en-US"/>
      </w:rPr>
      <w:drawing>
        <wp:anchor distT="0" distB="0" distL="114300" distR="114300" simplePos="0" relativeHeight="251655680" behindDoc="0" locked="0" layoutInCell="1" allowOverlap="1" wp14:anchorId="5F3E1AC7" wp14:editId="6C963BA7">
          <wp:simplePos x="0" y="0"/>
          <wp:positionH relativeFrom="margin">
            <wp:align>left</wp:align>
          </wp:positionH>
          <wp:positionV relativeFrom="paragraph">
            <wp:posOffset>-224536</wp:posOffset>
          </wp:positionV>
          <wp:extent cx="874059" cy="74295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059"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0" behindDoc="0" locked="0" layoutInCell="1" allowOverlap="1" wp14:anchorId="5A7B5D11" wp14:editId="49AE487D">
          <wp:simplePos x="0" y="0"/>
          <wp:positionH relativeFrom="margin">
            <wp:align>right</wp:align>
          </wp:positionH>
          <wp:positionV relativeFrom="paragraph">
            <wp:posOffset>-142875</wp:posOffset>
          </wp:positionV>
          <wp:extent cx="2105025" cy="600075"/>
          <wp:effectExtent l="0" t="0" r="9525" b="952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10162" b="26744"/>
                  <a:stretch/>
                </pic:blipFill>
                <pic:spPr bwMode="auto">
                  <a:xfrm>
                    <a:off x="0" y="0"/>
                    <a:ext cx="210502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26E5" w:rsidRDefault="005B26E5" w:rsidP="00DC2CB8">
    <w:pPr>
      <w:pStyle w:val="a6"/>
      <w:rPr>
        <w:noProof/>
        <w:rtl/>
        <w:lang w:eastAsia="en-US"/>
      </w:rPr>
    </w:pPr>
  </w:p>
  <w:p w:rsidR="005B26E5" w:rsidRDefault="005B26E5" w:rsidP="00DC2CB8">
    <w:pPr>
      <w:pStyle w:val="a6"/>
      <w:rPr>
        <w:noProof/>
        <w:rtl/>
        <w:lang w:eastAsia="en-US"/>
      </w:rPr>
    </w:pPr>
  </w:p>
  <w:p w:rsidR="005B26E5" w:rsidRDefault="005B26E5" w:rsidP="00DC2CB8">
    <w:pPr>
      <w:pStyle w:val="a6"/>
      <w:rPr>
        <w:noProof/>
        <w:rtl/>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E9D"/>
    <w:multiLevelType w:val="multilevel"/>
    <w:tmpl w:val="505A12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FF2A76"/>
    <w:multiLevelType w:val="hybridMultilevel"/>
    <w:tmpl w:val="2F4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C7FBA"/>
    <w:multiLevelType w:val="hybridMultilevel"/>
    <w:tmpl w:val="708AEAE4"/>
    <w:lvl w:ilvl="0" w:tplc="ED66289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554BF"/>
    <w:multiLevelType w:val="multilevel"/>
    <w:tmpl w:val="DB8287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D534B75"/>
    <w:multiLevelType w:val="hybridMultilevel"/>
    <w:tmpl w:val="2F4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741A6"/>
    <w:multiLevelType w:val="multilevel"/>
    <w:tmpl w:val="5D90B8E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46506B"/>
    <w:multiLevelType w:val="hybridMultilevel"/>
    <w:tmpl w:val="F78660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8815F9"/>
    <w:multiLevelType w:val="multilevel"/>
    <w:tmpl w:val="3B06E1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4BB4CC9"/>
    <w:multiLevelType w:val="hybridMultilevel"/>
    <w:tmpl w:val="2F4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6F3F79"/>
    <w:multiLevelType w:val="hybridMultilevel"/>
    <w:tmpl w:val="19622A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E543877"/>
    <w:multiLevelType w:val="hybridMultilevel"/>
    <w:tmpl w:val="2F403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SavedUser" w:val="71"/>
  </w:docVars>
  <w:rsids>
    <w:rsidRoot w:val="005B26E5"/>
    <w:rsid w:val="000137EB"/>
    <w:rsid w:val="00025F2D"/>
    <w:rsid w:val="000330A9"/>
    <w:rsid w:val="00096117"/>
    <w:rsid w:val="000C0985"/>
    <w:rsid w:val="00101FCC"/>
    <w:rsid w:val="00113A30"/>
    <w:rsid w:val="00115106"/>
    <w:rsid w:val="00147C03"/>
    <w:rsid w:val="00161105"/>
    <w:rsid w:val="00166A3A"/>
    <w:rsid w:val="00170D76"/>
    <w:rsid w:val="001735A2"/>
    <w:rsid w:val="0018292D"/>
    <w:rsid w:val="001A7F4E"/>
    <w:rsid w:val="001C121B"/>
    <w:rsid w:val="001D5DF0"/>
    <w:rsid w:val="001E2CF0"/>
    <w:rsid w:val="001E7EF3"/>
    <w:rsid w:val="001F395D"/>
    <w:rsid w:val="00213AB0"/>
    <w:rsid w:val="00217552"/>
    <w:rsid w:val="002428B0"/>
    <w:rsid w:val="002432FB"/>
    <w:rsid w:val="00265F13"/>
    <w:rsid w:val="00271DB7"/>
    <w:rsid w:val="002B1075"/>
    <w:rsid w:val="002B1454"/>
    <w:rsid w:val="002F70F9"/>
    <w:rsid w:val="003108EA"/>
    <w:rsid w:val="00322D5D"/>
    <w:rsid w:val="00322DAE"/>
    <w:rsid w:val="00340E43"/>
    <w:rsid w:val="003559C4"/>
    <w:rsid w:val="003E46A9"/>
    <w:rsid w:val="003E5218"/>
    <w:rsid w:val="00407867"/>
    <w:rsid w:val="00411150"/>
    <w:rsid w:val="00460188"/>
    <w:rsid w:val="004F6F95"/>
    <w:rsid w:val="00510A1D"/>
    <w:rsid w:val="00532542"/>
    <w:rsid w:val="00536FAF"/>
    <w:rsid w:val="005432FC"/>
    <w:rsid w:val="00554295"/>
    <w:rsid w:val="00572CF9"/>
    <w:rsid w:val="00591A61"/>
    <w:rsid w:val="005A3D00"/>
    <w:rsid w:val="005B26E5"/>
    <w:rsid w:val="005B27C3"/>
    <w:rsid w:val="00672C8B"/>
    <w:rsid w:val="006B331A"/>
    <w:rsid w:val="006B44E6"/>
    <w:rsid w:val="006D5B8B"/>
    <w:rsid w:val="007409A2"/>
    <w:rsid w:val="00747091"/>
    <w:rsid w:val="00771271"/>
    <w:rsid w:val="00774263"/>
    <w:rsid w:val="007913A0"/>
    <w:rsid w:val="007B65B8"/>
    <w:rsid w:val="007F7EBB"/>
    <w:rsid w:val="008113F2"/>
    <w:rsid w:val="00861572"/>
    <w:rsid w:val="00863972"/>
    <w:rsid w:val="00875FCA"/>
    <w:rsid w:val="00876717"/>
    <w:rsid w:val="00887276"/>
    <w:rsid w:val="008B398B"/>
    <w:rsid w:val="008B42F5"/>
    <w:rsid w:val="008D698E"/>
    <w:rsid w:val="008E6098"/>
    <w:rsid w:val="008F0B75"/>
    <w:rsid w:val="008F32D6"/>
    <w:rsid w:val="00907A57"/>
    <w:rsid w:val="00915254"/>
    <w:rsid w:val="0093799D"/>
    <w:rsid w:val="00940995"/>
    <w:rsid w:val="00944AB8"/>
    <w:rsid w:val="00990B20"/>
    <w:rsid w:val="009C1E98"/>
    <w:rsid w:val="00A55465"/>
    <w:rsid w:val="00AB42BB"/>
    <w:rsid w:val="00AB4EE5"/>
    <w:rsid w:val="00AC3F03"/>
    <w:rsid w:val="00AD28EE"/>
    <w:rsid w:val="00B55C4C"/>
    <w:rsid w:val="00B562A8"/>
    <w:rsid w:val="00B57519"/>
    <w:rsid w:val="00B60D01"/>
    <w:rsid w:val="00BA5794"/>
    <w:rsid w:val="00BC51D4"/>
    <w:rsid w:val="00C05908"/>
    <w:rsid w:val="00C05992"/>
    <w:rsid w:val="00C17BD9"/>
    <w:rsid w:val="00C44099"/>
    <w:rsid w:val="00C56D8D"/>
    <w:rsid w:val="00C64A7A"/>
    <w:rsid w:val="00C75479"/>
    <w:rsid w:val="00C84C13"/>
    <w:rsid w:val="00C90700"/>
    <w:rsid w:val="00CE4D1D"/>
    <w:rsid w:val="00D063FE"/>
    <w:rsid w:val="00D4553E"/>
    <w:rsid w:val="00D97350"/>
    <w:rsid w:val="00DA0FBA"/>
    <w:rsid w:val="00DA35B1"/>
    <w:rsid w:val="00DC2CB8"/>
    <w:rsid w:val="00DE6BAD"/>
    <w:rsid w:val="00DF2E00"/>
    <w:rsid w:val="00E30699"/>
    <w:rsid w:val="00E419E2"/>
    <w:rsid w:val="00E9224B"/>
    <w:rsid w:val="00EA0950"/>
    <w:rsid w:val="00ED19E2"/>
    <w:rsid w:val="00EF010D"/>
    <w:rsid w:val="00F72399"/>
    <w:rsid w:val="00FA227D"/>
    <w:rsid w:val="00FC0EBF"/>
    <w:rsid w:val="00FF2A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6E5"/>
    <w:pPr>
      <w:bidi/>
    </w:pPr>
    <w:rPr>
      <w:rFonts w:cs="David"/>
      <w:sz w:val="18"/>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link w:val="a5"/>
    <w:semiHidden/>
  </w:style>
  <w:style w:type="paragraph" w:styleId="a6">
    <w:name w:val="header"/>
    <w:basedOn w:val="a"/>
    <w:link w:val="a7"/>
    <w:uiPriority w:val="99"/>
    <w:pPr>
      <w:tabs>
        <w:tab w:val="center" w:pos="4153"/>
        <w:tab w:val="right" w:pos="8306"/>
      </w:tabs>
    </w:pPr>
  </w:style>
  <w:style w:type="paragraph" w:styleId="a8">
    <w:name w:val="footer"/>
    <w:basedOn w:val="a"/>
    <w:link w:val="a9"/>
    <w:uiPriority w:val="99"/>
    <w:pPr>
      <w:tabs>
        <w:tab w:val="center" w:pos="4153"/>
        <w:tab w:val="right" w:pos="8306"/>
      </w:tabs>
    </w:pPr>
  </w:style>
  <w:style w:type="character" w:styleId="aa">
    <w:name w:val="page number"/>
    <w:basedOn w:val="a0"/>
  </w:style>
  <w:style w:type="character" w:customStyle="1" w:styleId="a9">
    <w:name w:val="כותרת תחתונה תו"/>
    <w:link w:val="a8"/>
    <w:uiPriority w:val="99"/>
    <w:rsid w:val="00E30699"/>
    <w:rPr>
      <w:rFonts w:cs="David"/>
      <w:sz w:val="18"/>
      <w:szCs w:val="24"/>
      <w:lang w:eastAsia="he-IL"/>
    </w:rPr>
  </w:style>
  <w:style w:type="paragraph" w:styleId="ab">
    <w:name w:val="Balloon Text"/>
    <w:basedOn w:val="a"/>
    <w:link w:val="ac"/>
    <w:rsid w:val="00E30699"/>
    <w:rPr>
      <w:rFonts w:ascii="Tahoma" w:hAnsi="Tahoma" w:cs="Tahoma"/>
      <w:sz w:val="16"/>
      <w:szCs w:val="16"/>
    </w:rPr>
  </w:style>
  <w:style w:type="character" w:customStyle="1" w:styleId="ac">
    <w:name w:val="טקסט בלונים תו"/>
    <w:basedOn w:val="a0"/>
    <w:link w:val="ab"/>
    <w:rsid w:val="00E30699"/>
    <w:rPr>
      <w:rFonts w:ascii="Tahoma" w:hAnsi="Tahoma" w:cs="Tahoma"/>
      <w:sz w:val="16"/>
      <w:szCs w:val="16"/>
      <w:lang w:eastAsia="he-IL"/>
    </w:rPr>
  </w:style>
  <w:style w:type="character" w:customStyle="1" w:styleId="a7">
    <w:name w:val="כותרת עליונה תו"/>
    <w:link w:val="a6"/>
    <w:uiPriority w:val="99"/>
    <w:rsid w:val="00E30699"/>
    <w:rPr>
      <w:rFonts w:cs="David"/>
      <w:sz w:val="18"/>
      <w:szCs w:val="24"/>
      <w:lang w:eastAsia="he-IL"/>
    </w:rPr>
  </w:style>
  <w:style w:type="table" w:styleId="ad">
    <w:name w:val="Table Grid"/>
    <w:basedOn w:val="a1"/>
    <w:rsid w:val="00B562A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22DAE"/>
    <w:pPr>
      <w:ind w:left="720"/>
    </w:pPr>
    <w:rPr>
      <w:rFonts w:ascii="Calibri" w:eastAsiaTheme="minorHAnsi" w:hAnsi="Calibri" w:cs="Times New Roman"/>
      <w:sz w:val="24"/>
      <w:lang w:eastAsia="en-US"/>
    </w:rPr>
  </w:style>
  <w:style w:type="character" w:styleId="Hyperlink">
    <w:name w:val="Hyperlink"/>
    <w:basedOn w:val="a0"/>
    <w:unhideWhenUsed/>
    <w:rsid w:val="002F70F9"/>
    <w:rPr>
      <w:color w:val="0000FF" w:themeColor="hyperlink"/>
      <w:u w:val="single"/>
    </w:rPr>
  </w:style>
  <w:style w:type="paragraph" w:styleId="af">
    <w:name w:val="annotation subject"/>
    <w:basedOn w:val="a4"/>
    <w:next w:val="a4"/>
    <w:link w:val="af0"/>
    <w:semiHidden/>
    <w:unhideWhenUsed/>
    <w:rsid w:val="005A3D00"/>
    <w:rPr>
      <w:b/>
      <w:bCs/>
      <w:sz w:val="20"/>
      <w:szCs w:val="20"/>
    </w:rPr>
  </w:style>
  <w:style w:type="character" w:customStyle="1" w:styleId="a5">
    <w:name w:val="טקסט הערה תו"/>
    <w:basedOn w:val="a0"/>
    <w:link w:val="a4"/>
    <w:semiHidden/>
    <w:rsid w:val="005A3D00"/>
    <w:rPr>
      <w:rFonts w:cs="David"/>
      <w:sz w:val="18"/>
      <w:szCs w:val="24"/>
      <w:lang w:eastAsia="he-IL"/>
    </w:rPr>
  </w:style>
  <w:style w:type="character" w:customStyle="1" w:styleId="af0">
    <w:name w:val="נושא הערה תו"/>
    <w:basedOn w:val="a5"/>
    <w:link w:val="af"/>
    <w:semiHidden/>
    <w:rsid w:val="005A3D00"/>
    <w:rPr>
      <w:rFonts w:cs="David"/>
      <w:b/>
      <w:bCs/>
      <w:sz w:val="18"/>
      <w:szCs w:val="24"/>
      <w:lang w:eastAsia="he-IL"/>
    </w:rPr>
  </w:style>
  <w:style w:type="paragraph" w:customStyle="1" w:styleId="gmail-msolistparagraph">
    <w:name w:val="gmail-msolistparagraph"/>
    <w:basedOn w:val="a"/>
    <w:uiPriority w:val="99"/>
    <w:rsid w:val="00861572"/>
    <w:pPr>
      <w:bidi w:val="0"/>
      <w:spacing w:before="100" w:beforeAutospacing="1" w:after="100" w:afterAutospacing="1"/>
    </w:pPr>
    <w:rPr>
      <w:rFonts w:eastAsiaTheme="minorHAnsi" w:cs="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6E5"/>
    <w:pPr>
      <w:bidi/>
    </w:pPr>
    <w:rPr>
      <w:rFonts w:cs="David"/>
      <w:sz w:val="18"/>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szCs w:val="16"/>
    </w:rPr>
  </w:style>
  <w:style w:type="paragraph" w:styleId="a4">
    <w:name w:val="annotation text"/>
    <w:basedOn w:val="a"/>
    <w:link w:val="a5"/>
    <w:semiHidden/>
  </w:style>
  <w:style w:type="paragraph" w:styleId="a6">
    <w:name w:val="header"/>
    <w:basedOn w:val="a"/>
    <w:link w:val="a7"/>
    <w:uiPriority w:val="99"/>
    <w:pPr>
      <w:tabs>
        <w:tab w:val="center" w:pos="4153"/>
        <w:tab w:val="right" w:pos="8306"/>
      </w:tabs>
    </w:pPr>
  </w:style>
  <w:style w:type="paragraph" w:styleId="a8">
    <w:name w:val="footer"/>
    <w:basedOn w:val="a"/>
    <w:link w:val="a9"/>
    <w:uiPriority w:val="99"/>
    <w:pPr>
      <w:tabs>
        <w:tab w:val="center" w:pos="4153"/>
        <w:tab w:val="right" w:pos="8306"/>
      </w:tabs>
    </w:pPr>
  </w:style>
  <w:style w:type="character" w:styleId="aa">
    <w:name w:val="page number"/>
    <w:basedOn w:val="a0"/>
  </w:style>
  <w:style w:type="character" w:customStyle="1" w:styleId="a9">
    <w:name w:val="כותרת תחתונה תו"/>
    <w:link w:val="a8"/>
    <w:uiPriority w:val="99"/>
    <w:rsid w:val="00E30699"/>
    <w:rPr>
      <w:rFonts w:cs="David"/>
      <w:sz w:val="18"/>
      <w:szCs w:val="24"/>
      <w:lang w:eastAsia="he-IL"/>
    </w:rPr>
  </w:style>
  <w:style w:type="paragraph" w:styleId="ab">
    <w:name w:val="Balloon Text"/>
    <w:basedOn w:val="a"/>
    <w:link w:val="ac"/>
    <w:rsid w:val="00E30699"/>
    <w:rPr>
      <w:rFonts w:ascii="Tahoma" w:hAnsi="Tahoma" w:cs="Tahoma"/>
      <w:sz w:val="16"/>
      <w:szCs w:val="16"/>
    </w:rPr>
  </w:style>
  <w:style w:type="character" w:customStyle="1" w:styleId="ac">
    <w:name w:val="טקסט בלונים תו"/>
    <w:basedOn w:val="a0"/>
    <w:link w:val="ab"/>
    <w:rsid w:val="00E30699"/>
    <w:rPr>
      <w:rFonts w:ascii="Tahoma" w:hAnsi="Tahoma" w:cs="Tahoma"/>
      <w:sz w:val="16"/>
      <w:szCs w:val="16"/>
      <w:lang w:eastAsia="he-IL"/>
    </w:rPr>
  </w:style>
  <w:style w:type="character" w:customStyle="1" w:styleId="a7">
    <w:name w:val="כותרת עליונה תו"/>
    <w:link w:val="a6"/>
    <w:uiPriority w:val="99"/>
    <w:rsid w:val="00E30699"/>
    <w:rPr>
      <w:rFonts w:cs="David"/>
      <w:sz w:val="18"/>
      <w:szCs w:val="24"/>
      <w:lang w:eastAsia="he-IL"/>
    </w:rPr>
  </w:style>
  <w:style w:type="table" w:styleId="ad">
    <w:name w:val="Table Grid"/>
    <w:basedOn w:val="a1"/>
    <w:rsid w:val="00B562A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22DAE"/>
    <w:pPr>
      <w:ind w:left="720"/>
    </w:pPr>
    <w:rPr>
      <w:rFonts w:ascii="Calibri" w:eastAsiaTheme="minorHAnsi" w:hAnsi="Calibri" w:cs="Times New Roman"/>
      <w:sz w:val="24"/>
      <w:lang w:eastAsia="en-US"/>
    </w:rPr>
  </w:style>
  <w:style w:type="character" w:styleId="Hyperlink">
    <w:name w:val="Hyperlink"/>
    <w:basedOn w:val="a0"/>
    <w:unhideWhenUsed/>
    <w:rsid w:val="002F70F9"/>
    <w:rPr>
      <w:color w:val="0000FF" w:themeColor="hyperlink"/>
      <w:u w:val="single"/>
    </w:rPr>
  </w:style>
  <w:style w:type="paragraph" w:styleId="af">
    <w:name w:val="annotation subject"/>
    <w:basedOn w:val="a4"/>
    <w:next w:val="a4"/>
    <w:link w:val="af0"/>
    <w:semiHidden/>
    <w:unhideWhenUsed/>
    <w:rsid w:val="005A3D00"/>
    <w:rPr>
      <w:b/>
      <w:bCs/>
      <w:sz w:val="20"/>
      <w:szCs w:val="20"/>
    </w:rPr>
  </w:style>
  <w:style w:type="character" w:customStyle="1" w:styleId="a5">
    <w:name w:val="טקסט הערה תו"/>
    <w:basedOn w:val="a0"/>
    <w:link w:val="a4"/>
    <w:semiHidden/>
    <w:rsid w:val="005A3D00"/>
    <w:rPr>
      <w:rFonts w:cs="David"/>
      <w:sz w:val="18"/>
      <w:szCs w:val="24"/>
      <w:lang w:eastAsia="he-IL"/>
    </w:rPr>
  </w:style>
  <w:style w:type="character" w:customStyle="1" w:styleId="af0">
    <w:name w:val="נושא הערה תו"/>
    <w:basedOn w:val="a5"/>
    <w:link w:val="af"/>
    <w:semiHidden/>
    <w:rsid w:val="005A3D00"/>
    <w:rPr>
      <w:rFonts w:cs="David"/>
      <w:b/>
      <w:bCs/>
      <w:sz w:val="18"/>
      <w:szCs w:val="24"/>
      <w:lang w:eastAsia="he-IL"/>
    </w:rPr>
  </w:style>
  <w:style w:type="paragraph" w:customStyle="1" w:styleId="gmail-msolistparagraph">
    <w:name w:val="gmail-msolistparagraph"/>
    <w:basedOn w:val="a"/>
    <w:uiPriority w:val="99"/>
    <w:rsid w:val="00861572"/>
    <w:pPr>
      <w:bidi w:val="0"/>
      <w:spacing w:before="100" w:beforeAutospacing="1" w:after="100" w:afterAutospacing="1"/>
    </w:pPr>
    <w:rPr>
      <w:rFonts w:eastAsiaTheme="minorHAnsi"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19944">
      <w:bodyDiv w:val="1"/>
      <w:marLeft w:val="0"/>
      <w:marRight w:val="0"/>
      <w:marTop w:val="0"/>
      <w:marBottom w:val="0"/>
      <w:divBdr>
        <w:top w:val="none" w:sz="0" w:space="0" w:color="auto"/>
        <w:left w:val="none" w:sz="0" w:space="0" w:color="auto"/>
        <w:bottom w:val="none" w:sz="0" w:space="0" w:color="auto"/>
        <w:right w:val="none" w:sz="0" w:space="0" w:color="auto"/>
      </w:divBdr>
    </w:div>
    <w:div w:id="438335114">
      <w:bodyDiv w:val="1"/>
      <w:marLeft w:val="0"/>
      <w:marRight w:val="0"/>
      <w:marTop w:val="0"/>
      <w:marBottom w:val="0"/>
      <w:divBdr>
        <w:top w:val="none" w:sz="0" w:space="0" w:color="auto"/>
        <w:left w:val="none" w:sz="0" w:space="0" w:color="auto"/>
        <w:bottom w:val="none" w:sz="0" w:space="0" w:color="auto"/>
        <w:right w:val="none" w:sz="0" w:space="0" w:color="auto"/>
      </w:divBdr>
    </w:div>
    <w:div w:id="453990095">
      <w:bodyDiv w:val="1"/>
      <w:marLeft w:val="0"/>
      <w:marRight w:val="0"/>
      <w:marTop w:val="0"/>
      <w:marBottom w:val="0"/>
      <w:divBdr>
        <w:top w:val="none" w:sz="0" w:space="0" w:color="auto"/>
        <w:left w:val="none" w:sz="0" w:space="0" w:color="auto"/>
        <w:bottom w:val="none" w:sz="0" w:space="0" w:color="auto"/>
        <w:right w:val="none" w:sz="0" w:space="0" w:color="auto"/>
      </w:divBdr>
    </w:div>
    <w:div w:id="566962538">
      <w:bodyDiv w:val="1"/>
      <w:marLeft w:val="0"/>
      <w:marRight w:val="0"/>
      <w:marTop w:val="0"/>
      <w:marBottom w:val="0"/>
      <w:divBdr>
        <w:top w:val="none" w:sz="0" w:space="0" w:color="auto"/>
        <w:left w:val="none" w:sz="0" w:space="0" w:color="auto"/>
        <w:bottom w:val="none" w:sz="0" w:space="0" w:color="auto"/>
        <w:right w:val="none" w:sz="0" w:space="0" w:color="auto"/>
      </w:divBdr>
    </w:div>
    <w:div w:id="647511466">
      <w:bodyDiv w:val="1"/>
      <w:marLeft w:val="0"/>
      <w:marRight w:val="0"/>
      <w:marTop w:val="0"/>
      <w:marBottom w:val="0"/>
      <w:divBdr>
        <w:top w:val="none" w:sz="0" w:space="0" w:color="auto"/>
        <w:left w:val="none" w:sz="0" w:space="0" w:color="auto"/>
        <w:bottom w:val="none" w:sz="0" w:space="0" w:color="auto"/>
        <w:right w:val="none" w:sz="0" w:space="0" w:color="auto"/>
      </w:divBdr>
    </w:div>
    <w:div w:id="983894476">
      <w:bodyDiv w:val="1"/>
      <w:marLeft w:val="0"/>
      <w:marRight w:val="0"/>
      <w:marTop w:val="0"/>
      <w:marBottom w:val="0"/>
      <w:divBdr>
        <w:top w:val="none" w:sz="0" w:space="0" w:color="auto"/>
        <w:left w:val="none" w:sz="0" w:space="0" w:color="auto"/>
        <w:bottom w:val="none" w:sz="0" w:space="0" w:color="auto"/>
        <w:right w:val="none" w:sz="0" w:space="0" w:color="auto"/>
      </w:divBdr>
    </w:div>
    <w:div w:id="1015300952">
      <w:bodyDiv w:val="1"/>
      <w:marLeft w:val="0"/>
      <w:marRight w:val="0"/>
      <w:marTop w:val="0"/>
      <w:marBottom w:val="0"/>
      <w:divBdr>
        <w:top w:val="none" w:sz="0" w:space="0" w:color="auto"/>
        <w:left w:val="none" w:sz="0" w:space="0" w:color="auto"/>
        <w:bottom w:val="none" w:sz="0" w:space="0" w:color="auto"/>
        <w:right w:val="none" w:sz="0" w:space="0" w:color="auto"/>
      </w:divBdr>
    </w:div>
    <w:div w:id="1618752447">
      <w:bodyDiv w:val="1"/>
      <w:marLeft w:val="0"/>
      <w:marRight w:val="0"/>
      <w:marTop w:val="0"/>
      <w:marBottom w:val="0"/>
      <w:divBdr>
        <w:top w:val="none" w:sz="0" w:space="0" w:color="auto"/>
        <w:left w:val="none" w:sz="0" w:space="0" w:color="auto"/>
        <w:bottom w:val="none" w:sz="0" w:space="0" w:color="auto"/>
        <w:right w:val="none" w:sz="0" w:space="0" w:color="auto"/>
      </w:divBdr>
    </w:div>
    <w:div w:id="1773285301">
      <w:bodyDiv w:val="1"/>
      <w:marLeft w:val="0"/>
      <w:marRight w:val="0"/>
      <w:marTop w:val="0"/>
      <w:marBottom w:val="0"/>
      <w:divBdr>
        <w:top w:val="none" w:sz="0" w:space="0" w:color="auto"/>
        <w:left w:val="none" w:sz="0" w:space="0" w:color="auto"/>
        <w:bottom w:val="none" w:sz="0" w:space="0" w:color="auto"/>
        <w:right w:val="none" w:sz="0" w:space="0" w:color="auto"/>
      </w:divBdr>
    </w:div>
    <w:div w:id="2091075756">
      <w:bodyDiv w:val="1"/>
      <w:marLeft w:val="0"/>
      <w:marRight w:val="0"/>
      <w:marTop w:val="0"/>
      <w:marBottom w:val="0"/>
      <w:divBdr>
        <w:top w:val="none" w:sz="0" w:space="0" w:color="auto"/>
        <w:left w:val="none" w:sz="0" w:space="0" w:color="auto"/>
        <w:bottom w:val="none" w:sz="0" w:space="0" w:color="auto"/>
        <w:right w:val="none" w:sz="0" w:space="0" w:color="auto"/>
      </w:divBdr>
    </w:div>
    <w:div w:id="2122068361">
      <w:bodyDiv w:val="1"/>
      <w:marLeft w:val="0"/>
      <w:marRight w:val="0"/>
      <w:marTop w:val="0"/>
      <w:marBottom w:val="0"/>
      <w:divBdr>
        <w:top w:val="none" w:sz="0" w:space="0" w:color="auto"/>
        <w:left w:val="none" w:sz="0" w:space="0" w:color="auto"/>
        <w:bottom w:val="none" w:sz="0" w:space="0" w:color="auto"/>
        <w:right w:val="none" w:sz="0" w:space="0" w:color="auto"/>
      </w:divBdr>
    </w:div>
    <w:div w:id="21333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DB86-1C7D-4403-A2C7-A2314E7C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3074</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מכתב עם לוגו לפ"מ</vt:lpstr>
    </vt:vector>
  </TitlesOfParts>
  <Company>לשכת הפרסום הממשלתית</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מכתב עם לוגו לפ"מ</dc:title>
  <dc:subject>מכתב עם לוגו לפ"מ</dc:subject>
  <dc:creator>sharonc</dc:creator>
  <cp:lastModifiedBy>רונה סופר</cp:lastModifiedBy>
  <cp:revision>2</cp:revision>
  <cp:lastPrinted>2018-05-16T15:02:00Z</cp:lastPrinted>
  <dcterms:created xsi:type="dcterms:W3CDTF">2018-05-17T08:55:00Z</dcterms:created>
  <dcterms:modified xsi:type="dcterms:W3CDTF">2018-05-17T08:55:00Z</dcterms:modified>
</cp:coreProperties>
</file>